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D9B2AA" w14:textId="77777777" w:rsidR="00F919AE" w:rsidRDefault="001C4CB7">
      <w:pPr>
        <w:spacing w:line="440" w:lineRule="exact"/>
        <w:ind w:firstLineChars="750" w:firstLine="2409"/>
        <w:rPr>
          <w:rFonts w:ascii="宋体" w:hAnsi="宋体" w:cs="宋体"/>
          <w:b/>
          <w:bCs/>
          <w:color w:val="000000"/>
          <w:sz w:val="32"/>
          <w:szCs w:val="32"/>
        </w:rPr>
      </w:pPr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新生儿黄疸治疗</w:t>
      </w:r>
      <w:proofErr w:type="gramStart"/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仪技术</w:t>
      </w:r>
      <w:proofErr w:type="gramEnd"/>
      <w:r>
        <w:rPr>
          <w:rFonts w:ascii="宋体" w:hAnsi="宋体" w:cs="宋体" w:hint="eastAsia"/>
          <w:b/>
          <w:bCs/>
          <w:color w:val="000000"/>
          <w:sz w:val="32"/>
          <w:szCs w:val="32"/>
        </w:rPr>
        <w:t>参数</w:t>
      </w:r>
    </w:p>
    <w:p w14:paraId="75A80935" w14:textId="77777777" w:rsidR="00F919AE" w:rsidRDefault="001C4CB7">
      <w:pPr>
        <w:spacing w:line="560" w:lineRule="exact"/>
        <w:rPr>
          <w:rFonts w:ascii="宋体" w:hAnsi="宋体" w:cs="宋体"/>
          <w:color w:val="000000"/>
          <w:sz w:val="30"/>
          <w:szCs w:val="30"/>
        </w:rPr>
      </w:pPr>
      <w:r>
        <w:rPr>
          <w:rFonts w:ascii="宋体" w:hAnsi="宋体" w:cs="宋体" w:hint="eastAsia"/>
          <w:b/>
          <w:bCs/>
          <w:color w:val="000000"/>
          <w:sz w:val="28"/>
          <w:szCs w:val="28"/>
          <w:highlight w:val="white"/>
        </w:rPr>
        <w:t>基本要求</w:t>
      </w:r>
      <w:r>
        <w:rPr>
          <w:rFonts w:ascii="宋体" w:hAnsi="宋体" w:cs="宋体" w:hint="eastAsia"/>
          <w:b/>
          <w:bCs/>
          <w:color w:val="000000"/>
          <w:sz w:val="30"/>
          <w:szCs w:val="30"/>
          <w:highlight w:val="white"/>
        </w:rPr>
        <w:t>：</w:t>
      </w:r>
    </w:p>
    <w:p w14:paraId="4A76345C" w14:textId="77777777" w:rsidR="00F919AE" w:rsidRDefault="001C4CB7">
      <w:pPr>
        <w:spacing w:line="560" w:lineRule="exact"/>
        <w:ind w:firstLineChars="200" w:firstLine="440"/>
        <w:rPr>
          <w:rFonts w:ascii="宋体" w:hAnsi="宋体" w:cs="Arial"/>
          <w:spacing w:val="-10"/>
          <w:sz w:val="24"/>
          <w:szCs w:val="24"/>
        </w:rPr>
      </w:pPr>
      <w:r>
        <w:rPr>
          <w:rFonts w:ascii="宋体" w:hAnsi="宋体" w:cs="Arial" w:hint="eastAsia"/>
          <w:spacing w:val="-10"/>
          <w:sz w:val="24"/>
          <w:szCs w:val="24"/>
        </w:rPr>
        <w:t>通过发射主辐射光谱处于</w:t>
      </w:r>
      <w:r>
        <w:rPr>
          <w:rFonts w:ascii="宋体" w:hAnsi="宋体" w:cs="Arial"/>
          <w:spacing w:val="-10"/>
          <w:sz w:val="24"/>
          <w:szCs w:val="24"/>
        </w:rPr>
        <w:t>400nm</w:t>
      </w:r>
      <w:r>
        <w:rPr>
          <w:rFonts w:ascii="宋体" w:hAnsi="宋体" w:cs="Arial" w:hint="eastAsia"/>
          <w:spacing w:val="-10"/>
          <w:sz w:val="24"/>
          <w:szCs w:val="24"/>
        </w:rPr>
        <w:t>至</w:t>
      </w:r>
      <w:r>
        <w:rPr>
          <w:rFonts w:ascii="宋体" w:hAnsi="宋体" w:cs="Arial"/>
          <w:spacing w:val="-10"/>
          <w:sz w:val="24"/>
          <w:szCs w:val="24"/>
        </w:rPr>
        <w:t>550nm范围内</w:t>
      </w:r>
      <w:r>
        <w:rPr>
          <w:rFonts w:ascii="宋体" w:hAnsi="宋体" w:cs="Arial" w:hint="eastAsia"/>
          <w:spacing w:val="-10"/>
          <w:sz w:val="24"/>
          <w:szCs w:val="24"/>
        </w:rPr>
        <w:t>的可见光，来降低新生儿体内的</w:t>
      </w:r>
      <w:r>
        <w:rPr>
          <w:rFonts w:ascii="宋体" w:hAnsi="宋体" w:cs="Arial"/>
          <w:spacing w:val="-10"/>
          <w:sz w:val="24"/>
          <w:szCs w:val="24"/>
        </w:rPr>
        <w:t>胆红素</w:t>
      </w:r>
      <w:r>
        <w:rPr>
          <w:rFonts w:ascii="宋体" w:hAnsi="宋体" w:cs="Arial" w:hint="eastAsia"/>
          <w:spacing w:val="-10"/>
          <w:sz w:val="24"/>
          <w:szCs w:val="24"/>
        </w:rPr>
        <w:t>浓度</w:t>
      </w:r>
    </w:p>
    <w:p w14:paraId="33C37BDF" w14:textId="77777777" w:rsidR="00F919AE" w:rsidRDefault="001C4CB7">
      <w:pPr>
        <w:spacing w:line="560" w:lineRule="exact"/>
        <w:rPr>
          <w:rFonts w:asciiTheme="minorEastAsia" w:eastAsiaTheme="minorEastAsia" w:hAnsiTheme="minorEastAsia" w:cs="宋体"/>
          <w:color w:val="000000"/>
          <w:sz w:val="24"/>
          <w:szCs w:val="24"/>
          <w:highlight w:val="white"/>
        </w:rPr>
      </w:pPr>
      <w:r>
        <w:rPr>
          <w:rFonts w:ascii="宋体" w:hAnsi="宋体" w:cs="宋体" w:hint="eastAsia"/>
          <w:b/>
          <w:bCs/>
          <w:color w:val="000000"/>
          <w:sz w:val="24"/>
          <w:szCs w:val="24"/>
          <w:highlight w:val="white"/>
        </w:rPr>
        <w:t>设备技术参数要求：</w:t>
      </w:r>
    </w:p>
    <w:p w14:paraId="6D73FAAB" w14:textId="77777777" w:rsidR="00F919AE" w:rsidRDefault="001C4CB7">
      <w:pPr>
        <w:spacing w:line="5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/>
          <w:sz w:val="24"/>
          <w:szCs w:val="24"/>
        </w:rPr>
        <w:t>1.</w:t>
      </w:r>
      <w:r>
        <w:rPr>
          <w:rFonts w:asciiTheme="minorEastAsia" w:eastAsiaTheme="minorEastAsia" w:hAnsiTheme="minorEastAsia" w:hint="eastAsia"/>
          <w:sz w:val="24"/>
          <w:szCs w:val="24"/>
        </w:rPr>
        <w:t>输入功率：</w:t>
      </w:r>
      <w:r>
        <w:rPr>
          <w:rFonts w:asciiTheme="minorEastAsia" w:eastAsiaTheme="minorEastAsia" w:hAnsiTheme="minorEastAsia"/>
          <w:sz w:val="24"/>
          <w:szCs w:val="24"/>
        </w:rPr>
        <w:t>75</w:t>
      </w:r>
      <w:r>
        <w:rPr>
          <w:rFonts w:asciiTheme="minorEastAsia" w:eastAsiaTheme="minorEastAsia" w:hAnsiTheme="minorEastAsia" w:hint="eastAsia"/>
          <w:sz w:val="24"/>
          <w:szCs w:val="24"/>
        </w:rPr>
        <w:t>VA</w:t>
      </w:r>
    </w:p>
    <w:p w14:paraId="1564581A" w14:textId="22773254" w:rsidR="00F919AE" w:rsidRDefault="0054259E">
      <w:pPr>
        <w:spacing w:line="560" w:lineRule="exact"/>
        <w:rPr>
          <w:rFonts w:asciiTheme="minorEastAsia" w:eastAsiaTheme="minorEastAsia" w:hAnsiTheme="minorEastAsia" w:cs="宋体"/>
          <w:color w:val="000000"/>
          <w:sz w:val="24"/>
          <w:szCs w:val="24"/>
          <w:highlight w:val="white"/>
        </w:rPr>
      </w:pPr>
      <w:r>
        <w:rPr>
          <w:rFonts w:asciiTheme="minorEastAsia" w:eastAsiaTheme="minorEastAsia" w:hAnsiTheme="minorEastAsia" w:cs="宋体" w:hint="eastAsia"/>
          <w:color w:val="000000"/>
          <w:sz w:val="24"/>
          <w:szCs w:val="24"/>
          <w:highlight w:val="white"/>
        </w:rPr>
        <w:t>*</w:t>
      </w:r>
      <w:r w:rsidR="001C4CB7">
        <w:rPr>
          <w:rFonts w:asciiTheme="minorEastAsia" w:eastAsiaTheme="minorEastAsia" w:hAnsiTheme="minorEastAsia" w:cs="宋体"/>
          <w:color w:val="000000"/>
          <w:sz w:val="24"/>
          <w:szCs w:val="24"/>
          <w:highlight w:val="white"/>
        </w:rPr>
        <w:t>2.</w:t>
      </w:r>
      <w:r w:rsidR="001C4CB7">
        <w:rPr>
          <w:rFonts w:asciiTheme="minorEastAsia" w:eastAsiaTheme="minorEastAsia" w:hAnsiTheme="minorEastAsia" w:cs="宋体" w:hint="eastAsia"/>
          <w:color w:val="000000"/>
          <w:sz w:val="24"/>
          <w:szCs w:val="24"/>
          <w:highlight w:val="white"/>
        </w:rPr>
        <w:t>光照有效面积：</w:t>
      </w:r>
      <w:r>
        <w:rPr>
          <w:rFonts w:asciiTheme="minorEastAsia" w:eastAsiaTheme="minorEastAsia" w:hAnsiTheme="minorEastAsia" w:cs="宋体" w:hint="eastAsia"/>
          <w:color w:val="000000"/>
          <w:sz w:val="24"/>
          <w:szCs w:val="24"/>
          <w:highlight w:val="white"/>
        </w:rPr>
        <w:t>≥</w:t>
      </w:r>
      <w:r w:rsidR="001C4CB7">
        <w:rPr>
          <w:rFonts w:asciiTheme="minorEastAsia" w:eastAsiaTheme="minorEastAsia" w:hAnsiTheme="minorEastAsia" w:cs="Arial" w:hint="eastAsia"/>
          <w:sz w:val="24"/>
          <w:szCs w:val="24"/>
        </w:rPr>
        <w:t>40</w:t>
      </w:r>
      <w:r w:rsidR="001C4CB7">
        <w:rPr>
          <w:rFonts w:asciiTheme="minorEastAsia" w:eastAsiaTheme="minorEastAsia" w:hAnsiTheme="minorEastAsia" w:cs="Arial"/>
          <w:sz w:val="24"/>
          <w:szCs w:val="24"/>
        </w:rPr>
        <w:t>cm×</w:t>
      </w:r>
      <w:r w:rsidR="001C4CB7">
        <w:rPr>
          <w:rFonts w:asciiTheme="minorEastAsia" w:eastAsiaTheme="minorEastAsia" w:hAnsiTheme="minorEastAsia" w:cs="Arial" w:hint="eastAsia"/>
          <w:sz w:val="24"/>
          <w:szCs w:val="24"/>
        </w:rPr>
        <w:t>30</w:t>
      </w:r>
      <w:r w:rsidR="001C4CB7">
        <w:rPr>
          <w:rFonts w:asciiTheme="minorEastAsia" w:eastAsiaTheme="minorEastAsia" w:hAnsiTheme="minorEastAsia" w:cs="Arial"/>
          <w:sz w:val="24"/>
          <w:szCs w:val="24"/>
        </w:rPr>
        <w:t>cm</w:t>
      </w:r>
      <w:r w:rsidR="001C4CB7">
        <w:rPr>
          <w:rFonts w:asciiTheme="minorEastAsia" w:eastAsiaTheme="minorEastAsia" w:hAnsiTheme="minorEastAsia" w:cs="宋体"/>
          <w:color w:val="000000"/>
          <w:sz w:val="24"/>
          <w:szCs w:val="24"/>
          <w:highlight w:val="white"/>
        </w:rPr>
        <w:t xml:space="preserve"> </w:t>
      </w:r>
    </w:p>
    <w:p w14:paraId="4594992A" w14:textId="77777777" w:rsidR="00F919AE" w:rsidRDefault="001C4CB7">
      <w:pPr>
        <w:widowControl/>
        <w:spacing w:line="560" w:lineRule="exact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cs="宋体"/>
          <w:color w:val="000000"/>
          <w:sz w:val="24"/>
          <w:szCs w:val="24"/>
          <w:highlight w:val="white"/>
        </w:rPr>
        <w:t>3.</w:t>
      </w:r>
      <w:r>
        <w:rPr>
          <w:rFonts w:asciiTheme="minorEastAsia" w:eastAsiaTheme="minorEastAsia" w:hAnsiTheme="minorEastAsia" w:cs="黑体" w:hint="eastAsia"/>
          <w:sz w:val="24"/>
          <w:szCs w:val="24"/>
        </w:rPr>
        <w:t>有效表面内的总辐照度</w:t>
      </w:r>
      <w:r>
        <w:rPr>
          <w:rFonts w:asciiTheme="minorEastAsia" w:eastAsiaTheme="minorEastAsia" w:hAnsiTheme="minorEastAsia" w:cs="黑体"/>
          <w:sz w:val="24"/>
          <w:szCs w:val="24"/>
        </w:rPr>
        <w:t>:</w:t>
      </w:r>
      <w:r>
        <w:rPr>
          <w:rFonts w:asciiTheme="minorEastAsia" w:eastAsiaTheme="minorEastAsia" w:hAnsiTheme="minorEastAsia" w:hint="eastAsia"/>
          <w:sz w:val="24"/>
          <w:szCs w:val="24"/>
        </w:rPr>
        <w:t>≥</w:t>
      </w:r>
      <w:r>
        <w:rPr>
          <w:rFonts w:asciiTheme="minorEastAsia" w:eastAsiaTheme="minorEastAsia" w:hAnsiTheme="minorEastAsia" w:cs="黑体" w:hint="eastAsia"/>
          <w:sz w:val="24"/>
          <w:szCs w:val="24"/>
        </w:rPr>
        <w:t>4.5mW/cm</w:t>
      </w:r>
      <w:r>
        <w:rPr>
          <w:rFonts w:asciiTheme="minorEastAsia" w:eastAsiaTheme="minorEastAsia" w:hAnsiTheme="minorEastAsia" w:cs="宋体"/>
          <w:sz w:val="24"/>
          <w:szCs w:val="24"/>
        </w:rPr>
        <w:t>²</w:t>
      </w:r>
    </w:p>
    <w:p w14:paraId="70C4B12D" w14:textId="77777777" w:rsidR="00F919AE" w:rsidRDefault="001C4CB7">
      <w:pPr>
        <w:widowControl/>
        <w:spacing w:line="560" w:lineRule="exact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4</w:t>
      </w:r>
      <w:r>
        <w:rPr>
          <w:rFonts w:asciiTheme="minorEastAsia" w:eastAsiaTheme="minorEastAsia" w:hAnsiTheme="minorEastAsia" w:cs="宋体"/>
          <w:color w:val="000000"/>
          <w:sz w:val="24"/>
          <w:szCs w:val="24"/>
        </w:rPr>
        <w:t>.</w:t>
      </w:r>
      <w:r>
        <w:rPr>
          <w:rFonts w:asciiTheme="minorEastAsia" w:eastAsiaTheme="minorEastAsia" w:hAnsiTheme="minorEastAsia" w:cs="黑体" w:hint="eastAsia"/>
          <w:sz w:val="24"/>
          <w:szCs w:val="24"/>
        </w:rPr>
        <w:t>胆红素总辐照度平均值:</w:t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 ≥</w:t>
      </w:r>
      <w:r>
        <w:rPr>
          <w:rFonts w:asciiTheme="minorEastAsia" w:eastAsiaTheme="minorEastAsia" w:hAnsiTheme="minorEastAsia" w:cs="黑体"/>
          <w:sz w:val="24"/>
          <w:szCs w:val="24"/>
        </w:rPr>
        <w:t>3</w:t>
      </w:r>
      <w:r>
        <w:rPr>
          <w:rFonts w:asciiTheme="minorEastAsia" w:eastAsiaTheme="minorEastAsia" w:hAnsiTheme="minorEastAsia" w:cs="黑体" w:hint="eastAsia"/>
          <w:sz w:val="24"/>
          <w:szCs w:val="24"/>
        </w:rPr>
        <w:t>.</w:t>
      </w:r>
      <w:r>
        <w:rPr>
          <w:rFonts w:asciiTheme="minorEastAsia" w:eastAsiaTheme="minorEastAsia" w:hAnsiTheme="minorEastAsia" w:cs="黑体"/>
          <w:sz w:val="24"/>
          <w:szCs w:val="24"/>
        </w:rPr>
        <w:t>0</w:t>
      </w:r>
      <w:r>
        <w:rPr>
          <w:rFonts w:asciiTheme="minorEastAsia" w:eastAsiaTheme="minorEastAsia" w:hAnsiTheme="minorEastAsia" w:cs="黑体" w:hint="eastAsia"/>
          <w:sz w:val="24"/>
          <w:szCs w:val="24"/>
        </w:rPr>
        <w:t>mW/cm</w:t>
      </w:r>
      <w:r>
        <w:rPr>
          <w:rFonts w:asciiTheme="minorEastAsia" w:eastAsiaTheme="minorEastAsia" w:hAnsiTheme="minorEastAsia" w:cs="宋体"/>
          <w:sz w:val="24"/>
          <w:szCs w:val="24"/>
        </w:rPr>
        <w:t>²</w:t>
      </w:r>
    </w:p>
    <w:p w14:paraId="44CE1225" w14:textId="77777777" w:rsidR="00F919AE" w:rsidRDefault="001C4CB7">
      <w:pPr>
        <w:widowControl/>
        <w:spacing w:line="560" w:lineRule="exact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cs="宋体" w:hint="eastAsia"/>
          <w:color w:val="000000"/>
          <w:sz w:val="24"/>
          <w:szCs w:val="24"/>
        </w:rPr>
        <w:t>5</w:t>
      </w:r>
      <w:r>
        <w:rPr>
          <w:rFonts w:asciiTheme="minorEastAsia" w:eastAsiaTheme="minorEastAsia" w:hAnsiTheme="minorEastAsia" w:cs="宋体"/>
          <w:color w:val="000000"/>
          <w:sz w:val="24"/>
          <w:szCs w:val="24"/>
        </w:rPr>
        <w:t>.</w:t>
      </w:r>
      <w:r>
        <w:rPr>
          <w:rFonts w:asciiTheme="minorEastAsia" w:eastAsiaTheme="minorEastAsia" w:hAnsiTheme="minorEastAsia" w:hint="eastAsia"/>
          <w:sz w:val="24"/>
          <w:szCs w:val="24"/>
        </w:rPr>
        <w:t>有效表面内的胆红素总辐照度均匀性：＞0.4</w:t>
      </w:r>
    </w:p>
    <w:p w14:paraId="309AE697" w14:textId="77777777" w:rsidR="00F919AE" w:rsidRDefault="001C4CB7">
      <w:pPr>
        <w:widowControl/>
        <w:spacing w:line="560" w:lineRule="exact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6</w:t>
      </w:r>
      <w:r>
        <w:rPr>
          <w:rFonts w:asciiTheme="minorEastAsia" w:eastAsiaTheme="minorEastAsia" w:hAnsiTheme="minorEastAsia"/>
          <w:sz w:val="24"/>
          <w:szCs w:val="24"/>
        </w:rPr>
        <w:t>.</w:t>
      </w:r>
      <w:r>
        <w:rPr>
          <w:rFonts w:asciiTheme="minorEastAsia" w:eastAsiaTheme="minorEastAsia" w:hAnsiTheme="minorEastAsia" w:hint="eastAsia"/>
          <w:sz w:val="24"/>
          <w:szCs w:val="24"/>
        </w:rPr>
        <w:t>工作噪声：≤5</w:t>
      </w:r>
      <w:r>
        <w:rPr>
          <w:rFonts w:asciiTheme="minorEastAsia" w:eastAsiaTheme="minorEastAsia" w:hAnsiTheme="minorEastAsia"/>
          <w:sz w:val="24"/>
          <w:szCs w:val="24"/>
        </w:rPr>
        <w:t>0dB(A)</w:t>
      </w:r>
    </w:p>
    <w:p w14:paraId="418CFDD5" w14:textId="65AEC5C9" w:rsidR="00F919AE" w:rsidRDefault="0054259E">
      <w:pPr>
        <w:spacing w:line="560" w:lineRule="exac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*</w:t>
      </w:r>
      <w:r w:rsidR="001C4CB7">
        <w:rPr>
          <w:rFonts w:asciiTheme="minorEastAsia" w:eastAsiaTheme="minorEastAsia" w:hAnsiTheme="minorEastAsia"/>
          <w:sz w:val="24"/>
          <w:szCs w:val="24"/>
        </w:rPr>
        <w:t>8.</w:t>
      </w:r>
      <w:r w:rsidR="001C4CB7">
        <w:rPr>
          <w:rFonts w:asciiTheme="minorEastAsia" w:eastAsiaTheme="minorEastAsia" w:hAnsiTheme="minorEastAsia" w:hint="eastAsia"/>
          <w:sz w:val="24"/>
          <w:szCs w:val="24"/>
        </w:rPr>
        <w:t>光源为</w:t>
      </w:r>
      <w:r w:rsidR="001C4CB7">
        <w:rPr>
          <w:rFonts w:ascii="宋体" w:hAnsi="宋体" w:cs="宋体" w:hint="eastAsia"/>
          <w:sz w:val="22"/>
        </w:rPr>
        <w:t>冷光源</w:t>
      </w:r>
      <w:r w:rsidR="001C4CB7">
        <w:rPr>
          <w:rFonts w:asciiTheme="minorEastAsia" w:eastAsiaTheme="minorEastAsia" w:hAnsiTheme="minorEastAsia"/>
          <w:sz w:val="24"/>
          <w:szCs w:val="24"/>
        </w:rPr>
        <w:t>,</w:t>
      </w:r>
      <w:r w:rsidR="001C4CB7">
        <w:rPr>
          <w:rFonts w:asciiTheme="minorEastAsia" w:eastAsiaTheme="minorEastAsia" w:hAnsiTheme="minorEastAsia" w:hint="eastAsia"/>
          <w:sz w:val="24"/>
          <w:szCs w:val="24"/>
        </w:rPr>
        <w:t>使用期限≥50000小时</w:t>
      </w:r>
    </w:p>
    <w:p w14:paraId="58F29916" w14:textId="77777777" w:rsidR="00F919AE" w:rsidRDefault="001C4CB7">
      <w:pPr>
        <w:widowControl/>
        <w:spacing w:line="560" w:lineRule="exact"/>
        <w:jc w:val="left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9.蓝光输出强度可调节</w:t>
      </w:r>
    </w:p>
    <w:p w14:paraId="6DE7D07C" w14:textId="77777777" w:rsidR="00F919AE" w:rsidRDefault="001C4CB7">
      <w:pPr>
        <w:widowControl/>
        <w:spacing w:line="480" w:lineRule="auto"/>
        <w:jc w:val="left"/>
        <w:rPr>
          <w:rFonts w:ascii="宋体" w:hAnsi="宋体"/>
          <w:sz w:val="22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10.</w:t>
      </w:r>
      <w:r>
        <w:rPr>
          <w:rFonts w:ascii="宋体" w:hAnsi="宋体" w:hint="eastAsia"/>
          <w:sz w:val="22"/>
        </w:rPr>
        <w:t>≥</w:t>
      </w:r>
      <w:r>
        <w:rPr>
          <w:rFonts w:ascii="宋体" w:hAnsi="宋体"/>
          <w:sz w:val="22"/>
        </w:rPr>
        <w:t>4</w:t>
      </w:r>
      <w:r>
        <w:rPr>
          <w:rFonts w:ascii="宋体" w:hAnsi="宋体" w:hint="eastAsia"/>
          <w:sz w:val="22"/>
        </w:rPr>
        <w:t>.0英寸触摸屏，方便医护人员观察和操作</w:t>
      </w:r>
    </w:p>
    <w:p w14:paraId="006D1D5D" w14:textId="6F4FD4E8" w:rsidR="0054259E" w:rsidRDefault="001C4CB7" w:rsidP="0054259E">
      <w:pPr>
        <w:rPr>
          <w:rFonts w:ascii="宋体" w:hAnsi="宋体"/>
          <w:sz w:val="22"/>
        </w:rPr>
      </w:pPr>
      <w:r>
        <w:rPr>
          <w:rFonts w:ascii="宋体" w:hAnsi="宋体" w:hint="eastAsia"/>
          <w:sz w:val="22"/>
        </w:rPr>
        <w:t>11.光疗灯的高度、角度均可灵活调节</w:t>
      </w:r>
    </w:p>
    <w:p w14:paraId="7269E8E0" w14:textId="01229E9B" w:rsidR="0054259E" w:rsidRPr="0054259E" w:rsidRDefault="0054259E" w:rsidP="0054259E">
      <w:pPr>
        <w:widowControl/>
        <w:spacing w:line="480" w:lineRule="auto"/>
        <w:jc w:val="left"/>
        <w:rPr>
          <w:rFonts w:ascii="宋体" w:hAnsi="宋体"/>
          <w:sz w:val="22"/>
        </w:rPr>
      </w:pPr>
      <w:r>
        <w:rPr>
          <w:rFonts w:hint="eastAsia"/>
        </w:rPr>
        <w:t>1</w:t>
      </w:r>
      <w:r w:rsidRPr="0054259E">
        <w:rPr>
          <w:rFonts w:ascii="宋体" w:hAnsi="宋体"/>
          <w:sz w:val="22"/>
        </w:rPr>
        <w:t>2</w:t>
      </w:r>
      <w:r w:rsidRPr="0054259E">
        <w:rPr>
          <w:rFonts w:ascii="宋体" w:hAnsi="宋体" w:hint="eastAsia"/>
          <w:sz w:val="22"/>
        </w:rPr>
        <w:t>．</w:t>
      </w:r>
      <w:proofErr w:type="gramStart"/>
      <w:r w:rsidRPr="0054259E">
        <w:rPr>
          <w:rFonts w:ascii="宋体" w:hAnsi="宋体" w:hint="eastAsia"/>
          <w:sz w:val="22"/>
        </w:rPr>
        <w:t>标配支架</w:t>
      </w:r>
      <w:proofErr w:type="gramEnd"/>
      <w:r w:rsidRPr="0054259E">
        <w:rPr>
          <w:rFonts w:ascii="宋体" w:hAnsi="宋体" w:hint="eastAsia"/>
          <w:sz w:val="22"/>
        </w:rPr>
        <w:t>1套</w:t>
      </w:r>
    </w:p>
    <w:p w14:paraId="035F73A6" w14:textId="77777777" w:rsidR="0054259E" w:rsidRPr="0054259E" w:rsidRDefault="0054259E" w:rsidP="0054259E">
      <w:pPr>
        <w:widowControl/>
        <w:spacing w:line="480" w:lineRule="auto"/>
        <w:jc w:val="left"/>
        <w:rPr>
          <w:rFonts w:ascii="宋体" w:hAnsi="宋体"/>
          <w:sz w:val="22"/>
        </w:rPr>
      </w:pPr>
      <w:r w:rsidRPr="0054259E">
        <w:rPr>
          <w:rFonts w:ascii="宋体" w:hAnsi="宋体" w:hint="eastAsia"/>
          <w:sz w:val="22"/>
        </w:rPr>
        <w:t>1</w:t>
      </w:r>
      <w:r w:rsidRPr="0054259E">
        <w:rPr>
          <w:rFonts w:ascii="宋体" w:hAnsi="宋体"/>
          <w:sz w:val="22"/>
        </w:rPr>
        <w:t>3</w:t>
      </w:r>
      <w:r w:rsidRPr="0054259E">
        <w:rPr>
          <w:rFonts w:ascii="宋体" w:hAnsi="宋体" w:hint="eastAsia"/>
          <w:sz w:val="22"/>
        </w:rPr>
        <w:t>、质保：整机(含光源</w:t>
      </w:r>
      <w:r w:rsidRPr="0054259E">
        <w:rPr>
          <w:rFonts w:ascii="宋体" w:hAnsi="宋体"/>
          <w:sz w:val="22"/>
        </w:rPr>
        <w:t>)</w:t>
      </w:r>
      <w:r w:rsidRPr="0054259E">
        <w:rPr>
          <w:rFonts w:ascii="宋体" w:hAnsi="宋体" w:hint="eastAsia"/>
          <w:sz w:val="22"/>
        </w:rPr>
        <w:t>质保不少于2年。</w:t>
      </w:r>
    </w:p>
    <w:p w14:paraId="7D51ECF7" w14:textId="62482686" w:rsidR="0054259E" w:rsidRDefault="0054259E" w:rsidP="0054259E">
      <w:pPr>
        <w:widowControl/>
        <w:spacing w:line="480" w:lineRule="auto"/>
        <w:jc w:val="left"/>
        <w:rPr>
          <w:rFonts w:ascii="宋体" w:hAnsi="宋体"/>
          <w:sz w:val="22"/>
        </w:rPr>
      </w:pPr>
      <w:r w:rsidRPr="0054259E">
        <w:rPr>
          <w:rFonts w:ascii="宋体" w:hAnsi="宋体" w:hint="eastAsia"/>
          <w:sz w:val="22"/>
        </w:rPr>
        <w:t>1</w:t>
      </w:r>
      <w:r w:rsidRPr="0054259E">
        <w:rPr>
          <w:rFonts w:ascii="宋体" w:hAnsi="宋体"/>
          <w:sz w:val="22"/>
        </w:rPr>
        <w:t>4</w:t>
      </w:r>
      <w:r w:rsidRPr="0054259E">
        <w:rPr>
          <w:rFonts w:ascii="宋体" w:hAnsi="宋体" w:hint="eastAsia"/>
          <w:sz w:val="22"/>
        </w:rPr>
        <w:t>．每年上</w:t>
      </w:r>
      <w:r>
        <w:rPr>
          <w:rFonts w:ascii="宋体" w:hAnsi="宋体" w:hint="eastAsia"/>
          <w:sz w:val="22"/>
        </w:rPr>
        <w:t>门</w:t>
      </w:r>
      <w:r w:rsidRPr="0054259E">
        <w:rPr>
          <w:rFonts w:ascii="宋体" w:hAnsi="宋体" w:hint="eastAsia"/>
          <w:sz w:val="22"/>
        </w:rPr>
        <w:t>免费检测不少2次</w:t>
      </w:r>
    </w:p>
    <w:p w14:paraId="04FAD480" w14:textId="25B6E29B" w:rsidR="00351AC5" w:rsidRDefault="00351AC5" w:rsidP="00351AC5">
      <w:pPr>
        <w:pStyle w:val="4"/>
      </w:pPr>
    </w:p>
    <w:p w14:paraId="74201F4F" w14:textId="0F5E1316" w:rsidR="00351AC5" w:rsidRDefault="00351AC5" w:rsidP="00351AC5"/>
    <w:p w14:paraId="0327CA33" w14:textId="77777777" w:rsidR="00351AC5" w:rsidRDefault="00351AC5" w:rsidP="00351AC5">
      <w:pPr>
        <w:spacing w:line="300" w:lineRule="auto"/>
        <w:jc w:val="center"/>
        <w:rPr>
          <w:rFonts w:ascii="黑体" w:eastAsia="黑体" w:hAnsi="宋体"/>
          <w:b/>
          <w:sz w:val="36"/>
          <w:szCs w:val="36"/>
        </w:rPr>
      </w:pPr>
      <w:proofErr w:type="gramStart"/>
      <w:r>
        <w:rPr>
          <w:rFonts w:ascii="黑体" w:eastAsia="黑体" w:hAnsi="宋体" w:hint="eastAsia"/>
          <w:b/>
          <w:sz w:val="36"/>
          <w:szCs w:val="36"/>
        </w:rPr>
        <w:t>卧式量床技术</w:t>
      </w:r>
      <w:proofErr w:type="gramEnd"/>
      <w:r>
        <w:rPr>
          <w:rFonts w:ascii="黑体" w:eastAsia="黑体" w:hAnsi="宋体" w:hint="eastAsia"/>
          <w:b/>
          <w:sz w:val="36"/>
          <w:szCs w:val="36"/>
        </w:rPr>
        <w:t>参数</w:t>
      </w:r>
    </w:p>
    <w:p w14:paraId="2884B2A9" w14:textId="77777777" w:rsidR="00351AC5" w:rsidRPr="007E7FEE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主要用于医院、妇幼保健、体检中心对婴幼儿进行超声波测高，精密平衡梁式传感器称重。全自动测量方式，测量结果快速准确，语音播报测量流程和结果。</w:t>
      </w:r>
    </w:p>
    <w:p w14:paraId="05C6D6B7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kern w:val="0"/>
          <w:sz w:val="24"/>
          <w:szCs w:val="24"/>
        </w:rPr>
        <w:t>操作方式: 全自动测量方式</w:t>
      </w:r>
    </w:p>
    <w:p w14:paraId="3827E261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kern w:val="0"/>
          <w:sz w:val="24"/>
          <w:szCs w:val="24"/>
        </w:rPr>
        <w:t>操作系统：</w:t>
      </w:r>
      <w:proofErr w:type="gramStart"/>
      <w:r>
        <w:rPr>
          <w:rFonts w:ascii="宋体" w:hAnsi="宋体" w:cs="宋体" w:hint="eastAsia"/>
          <w:bCs/>
          <w:kern w:val="0"/>
          <w:sz w:val="24"/>
          <w:szCs w:val="24"/>
        </w:rPr>
        <w:t>四核安卓</w:t>
      </w:r>
      <w:proofErr w:type="gramEnd"/>
      <w:r>
        <w:rPr>
          <w:rFonts w:ascii="宋体" w:hAnsi="宋体" w:cs="宋体" w:hint="eastAsia"/>
          <w:bCs/>
          <w:kern w:val="0"/>
          <w:sz w:val="24"/>
          <w:szCs w:val="24"/>
        </w:rPr>
        <w:t>系统，带身长、体重对比图（</w:t>
      </w:r>
      <w:r>
        <w:rPr>
          <w:rFonts w:ascii="宋体" w:hAnsi="宋体" w:cs="宋体"/>
          <w:bCs/>
          <w:kern w:val="0"/>
          <w:sz w:val="24"/>
          <w:szCs w:val="24"/>
        </w:rPr>
        <w:t>0-2岁）</w:t>
      </w:r>
    </w:p>
    <w:p w14:paraId="6D246A0B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kern w:val="0"/>
          <w:sz w:val="24"/>
          <w:szCs w:val="24"/>
        </w:rPr>
        <w:t>身高测量方式: 双探头超声波测量（高精度温差补偿）</w:t>
      </w:r>
    </w:p>
    <w:p w14:paraId="29051ACA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kern w:val="0"/>
          <w:sz w:val="24"/>
          <w:szCs w:val="24"/>
        </w:rPr>
        <w:t>体重测量方式: 精密平衡梁式压力传感器称重</w:t>
      </w:r>
    </w:p>
    <w:p w14:paraId="43E17559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测量范围:身高：</w:t>
      </w:r>
      <w:r>
        <w:rPr>
          <w:rFonts w:ascii="宋体" w:hAnsi="宋体" w:cs="宋体"/>
          <w:bCs/>
          <w:sz w:val="24"/>
          <w:szCs w:val="24"/>
        </w:rPr>
        <w:t>3</w:t>
      </w:r>
      <w:r>
        <w:rPr>
          <w:rFonts w:ascii="宋体" w:hAnsi="宋体" w:cs="宋体" w:hint="eastAsia"/>
          <w:bCs/>
          <w:sz w:val="24"/>
          <w:szCs w:val="24"/>
        </w:rPr>
        <w:t>0～</w:t>
      </w:r>
      <w:r>
        <w:rPr>
          <w:rFonts w:ascii="宋体" w:hAnsi="宋体" w:cs="宋体"/>
          <w:bCs/>
          <w:sz w:val="24"/>
          <w:szCs w:val="24"/>
        </w:rPr>
        <w:t>105</w:t>
      </w:r>
      <w:r>
        <w:rPr>
          <w:rFonts w:ascii="宋体" w:hAnsi="宋体" w:cs="宋体" w:hint="eastAsia"/>
          <w:bCs/>
          <w:sz w:val="24"/>
          <w:szCs w:val="24"/>
        </w:rPr>
        <w:t>0cm  体重：1-</w:t>
      </w:r>
      <w:r>
        <w:rPr>
          <w:rFonts w:ascii="宋体" w:hAnsi="宋体" w:cs="宋体"/>
          <w:bCs/>
          <w:sz w:val="24"/>
          <w:szCs w:val="24"/>
        </w:rPr>
        <w:t>2</w:t>
      </w:r>
      <w:r>
        <w:rPr>
          <w:rFonts w:ascii="宋体" w:hAnsi="宋体" w:cs="宋体" w:hint="eastAsia"/>
          <w:bCs/>
          <w:sz w:val="24"/>
          <w:szCs w:val="24"/>
        </w:rPr>
        <w:t>0kg  头围</w:t>
      </w:r>
      <w:r>
        <w:rPr>
          <w:rFonts w:ascii="宋体" w:hAnsi="宋体" w:cs="宋体"/>
          <w:bCs/>
          <w:sz w:val="24"/>
          <w:szCs w:val="24"/>
        </w:rPr>
        <w:t>&amp;腰围&amp;臀围： Max 120cm</w:t>
      </w:r>
    </w:p>
    <w:p w14:paraId="3B5FB97D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lastRenderedPageBreak/>
        <w:t>精确度:身高：±0.</w:t>
      </w:r>
      <w:r>
        <w:rPr>
          <w:rFonts w:ascii="宋体" w:hAnsi="宋体" w:cs="宋体"/>
          <w:bCs/>
          <w:sz w:val="24"/>
          <w:szCs w:val="24"/>
        </w:rPr>
        <w:t>1</w:t>
      </w:r>
      <w:r>
        <w:rPr>
          <w:rFonts w:ascii="宋体" w:hAnsi="宋体" w:cs="宋体" w:hint="eastAsia"/>
          <w:bCs/>
          <w:sz w:val="24"/>
          <w:szCs w:val="24"/>
        </w:rPr>
        <w:t>cm    体重：±0.1kg   头围</w:t>
      </w:r>
      <w:r>
        <w:rPr>
          <w:rFonts w:ascii="宋体" w:hAnsi="宋体" w:cs="宋体"/>
          <w:bCs/>
          <w:sz w:val="24"/>
          <w:szCs w:val="24"/>
        </w:rPr>
        <w:t>&amp;腰围&amp;臀围</w:t>
      </w:r>
      <w:r>
        <w:rPr>
          <w:rFonts w:ascii="宋体" w:hAnsi="宋体" w:cs="宋体" w:hint="eastAsia"/>
          <w:bCs/>
          <w:sz w:val="24"/>
          <w:szCs w:val="24"/>
        </w:rPr>
        <w:t>：</w:t>
      </w:r>
      <w:r>
        <w:rPr>
          <w:rFonts w:ascii="宋体" w:hAnsi="宋体" w:cs="宋体"/>
          <w:bCs/>
          <w:sz w:val="24"/>
          <w:szCs w:val="24"/>
        </w:rPr>
        <w:t>±0.1cm</w:t>
      </w:r>
    </w:p>
    <w:p w14:paraId="625BC84D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kern w:val="0"/>
          <w:sz w:val="24"/>
          <w:szCs w:val="24"/>
        </w:rPr>
        <w:t>显示方式：1</w:t>
      </w:r>
      <w:r>
        <w:rPr>
          <w:rFonts w:ascii="宋体" w:hAnsi="宋体" w:cs="宋体"/>
          <w:bCs/>
          <w:kern w:val="0"/>
          <w:sz w:val="24"/>
          <w:szCs w:val="24"/>
        </w:rPr>
        <w:t>0.1</w:t>
      </w:r>
      <w:r>
        <w:rPr>
          <w:rFonts w:ascii="宋体" w:hAnsi="宋体" w:cs="宋体" w:hint="eastAsia"/>
          <w:bCs/>
          <w:kern w:val="0"/>
          <w:sz w:val="24"/>
          <w:szCs w:val="24"/>
        </w:rPr>
        <w:t>英寸，1</w:t>
      </w:r>
      <w:r>
        <w:rPr>
          <w:rFonts w:ascii="宋体" w:hAnsi="宋体" w:cs="宋体"/>
          <w:bCs/>
          <w:kern w:val="0"/>
          <w:sz w:val="24"/>
          <w:szCs w:val="24"/>
        </w:rPr>
        <w:t>280*800</w:t>
      </w:r>
      <w:r>
        <w:rPr>
          <w:rFonts w:ascii="宋体" w:hAnsi="宋体" w:cs="宋体" w:hint="eastAsia"/>
          <w:bCs/>
          <w:kern w:val="0"/>
          <w:sz w:val="24"/>
          <w:szCs w:val="24"/>
        </w:rPr>
        <w:t>分辨率触摸屏</w:t>
      </w:r>
    </w:p>
    <w:p w14:paraId="76200E48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语音提示：测量结果与测量流程播报</w:t>
      </w:r>
    </w:p>
    <w:p w14:paraId="46D0D7F7" w14:textId="77777777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数据输出格式：</w:t>
      </w:r>
      <w:r>
        <w:rPr>
          <w:rFonts w:ascii="宋体" w:hAnsi="宋体" w:cs="宋体"/>
          <w:bCs/>
          <w:sz w:val="24"/>
          <w:szCs w:val="24"/>
        </w:rPr>
        <w:t>RJ45&amp;Wi-Fi</w:t>
      </w:r>
    </w:p>
    <w:p w14:paraId="270EF05C" w14:textId="5834A713" w:rsidR="00351AC5" w:rsidRDefault="00351AC5" w:rsidP="00351AC5">
      <w:pPr>
        <w:numPr>
          <w:ilvl w:val="0"/>
          <w:numId w:val="1"/>
        </w:numPr>
        <w:spacing w:line="300" w:lineRule="auto"/>
        <w:rPr>
          <w:rFonts w:ascii="宋体" w:hAnsi="宋体" w:cs="宋体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平均功耗：≤</w:t>
      </w:r>
      <w:r>
        <w:rPr>
          <w:rFonts w:ascii="宋体" w:hAnsi="宋体" w:cs="宋体"/>
          <w:bCs/>
          <w:sz w:val="24"/>
          <w:szCs w:val="24"/>
        </w:rPr>
        <w:t>2</w:t>
      </w:r>
      <w:r>
        <w:rPr>
          <w:rFonts w:ascii="宋体" w:hAnsi="宋体" w:cs="宋体" w:hint="eastAsia"/>
          <w:bCs/>
          <w:sz w:val="24"/>
          <w:szCs w:val="24"/>
        </w:rPr>
        <w:t>0W</w:t>
      </w:r>
    </w:p>
    <w:p w14:paraId="76FA7976" w14:textId="6D83CA40" w:rsidR="00EA0479" w:rsidRDefault="00EA0479" w:rsidP="00EA0479">
      <w:pPr>
        <w:pStyle w:val="4"/>
      </w:pPr>
    </w:p>
    <w:p w14:paraId="0611E14D" w14:textId="63E42B25" w:rsidR="00EA0479" w:rsidRPr="00EA0479" w:rsidRDefault="00EA0479" w:rsidP="00EA0479">
      <w:pPr>
        <w:pStyle w:val="4"/>
        <w:jc w:val="center"/>
        <w:rPr>
          <w:rFonts w:hint="eastAsia"/>
        </w:rPr>
      </w:pPr>
      <w:r>
        <w:rPr>
          <w:rFonts w:hint="eastAsia"/>
        </w:rPr>
        <w:t>超净工作台</w:t>
      </w:r>
    </w:p>
    <w:p w14:paraId="53094B03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洁净等级：100级@≥0.5μm(美联邦209E）</w:t>
      </w:r>
    </w:p>
    <w:p w14:paraId="268F8BEE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菌落数：≤0.5个/</w:t>
      </w:r>
      <w:proofErr w:type="gramStart"/>
      <w:r w:rsidRPr="00EA0479">
        <w:rPr>
          <w:rFonts w:ascii="宋体" w:hAnsi="宋体" w:cs="宋体" w:hint="eastAsia"/>
          <w:bCs/>
          <w:sz w:val="24"/>
          <w:szCs w:val="24"/>
        </w:rPr>
        <w:t>皿</w:t>
      </w:r>
      <w:proofErr w:type="gramEnd"/>
      <w:r w:rsidRPr="00EA0479">
        <w:rPr>
          <w:rFonts w:ascii="宋体" w:hAnsi="宋体" w:cs="宋体" w:hint="eastAsia"/>
          <w:bCs/>
          <w:sz w:val="24"/>
          <w:szCs w:val="24"/>
        </w:rPr>
        <w:t>.时（φ90mm培养平</w:t>
      </w:r>
      <w:proofErr w:type="gramStart"/>
      <w:r w:rsidRPr="00EA0479">
        <w:rPr>
          <w:rFonts w:ascii="宋体" w:hAnsi="宋体" w:cs="宋体" w:hint="eastAsia"/>
          <w:bCs/>
          <w:sz w:val="24"/>
          <w:szCs w:val="24"/>
        </w:rPr>
        <w:t>皿</w:t>
      </w:r>
      <w:proofErr w:type="gramEnd"/>
      <w:r w:rsidRPr="00EA0479">
        <w:rPr>
          <w:rFonts w:ascii="宋体" w:hAnsi="宋体" w:cs="宋体" w:hint="eastAsia"/>
          <w:bCs/>
          <w:sz w:val="24"/>
          <w:szCs w:val="24"/>
        </w:rPr>
        <w:t>）</w:t>
      </w:r>
    </w:p>
    <w:p w14:paraId="6BF7FB21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平均风速：0.25~0.45m/s(快、慢双速）</w:t>
      </w:r>
    </w:p>
    <w:p w14:paraId="236A20BE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噪音：≤62dB(A)</w:t>
      </w:r>
    </w:p>
    <w:p w14:paraId="3976E753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振动半峰值：≤0.5μm(x、y、z方向）</w:t>
      </w:r>
    </w:p>
    <w:p w14:paraId="21952DE0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照度：≥300LX</w:t>
      </w:r>
    </w:p>
    <w:p w14:paraId="730DB23A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电源配置：AC单相220V/50Hz</w:t>
      </w:r>
    </w:p>
    <w:p w14:paraId="6F7B62B0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最大功率：130W</w:t>
      </w:r>
    </w:p>
    <w:p w14:paraId="6B85F172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重量：85kg</w:t>
      </w:r>
    </w:p>
    <w:p w14:paraId="0C8C97D5" w14:textId="08C858D5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高效过滤器规格及数量：695×600×50</w:t>
      </w:r>
      <w:r>
        <w:rPr>
          <w:rFonts w:ascii="宋体" w:hAnsi="宋体" w:cs="宋体" w:hint="eastAsia"/>
          <w:bCs/>
          <w:sz w:val="24"/>
          <w:szCs w:val="24"/>
        </w:rPr>
        <w:t>，</w:t>
      </w:r>
      <w:r w:rsidRPr="00EA0479">
        <w:rPr>
          <w:rFonts w:ascii="宋体" w:hAnsi="宋体" w:cs="宋体" w:hint="eastAsia"/>
          <w:bCs/>
          <w:sz w:val="24"/>
          <w:szCs w:val="24"/>
        </w:rPr>
        <w:t>1</w:t>
      </w:r>
      <w:r>
        <w:rPr>
          <w:rFonts w:ascii="宋体" w:hAnsi="宋体" w:cs="宋体" w:hint="eastAsia"/>
          <w:bCs/>
          <w:sz w:val="24"/>
          <w:szCs w:val="24"/>
        </w:rPr>
        <w:t>套</w:t>
      </w:r>
    </w:p>
    <w:p w14:paraId="08A96BC6" w14:textId="1FFCAD91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荧光灯/紫外灯规格及数量：20W</w:t>
      </w:r>
      <w:r>
        <w:rPr>
          <w:rFonts w:ascii="宋体" w:hAnsi="宋体" w:cs="宋体" w:hint="eastAsia"/>
          <w:bCs/>
          <w:sz w:val="24"/>
          <w:szCs w:val="24"/>
        </w:rPr>
        <w:t>，</w:t>
      </w:r>
      <w:r w:rsidRPr="00EA0479">
        <w:rPr>
          <w:rFonts w:ascii="宋体" w:hAnsi="宋体" w:cs="宋体" w:hint="eastAsia"/>
          <w:bCs/>
          <w:sz w:val="24"/>
          <w:szCs w:val="24"/>
        </w:rPr>
        <w:t>1</w:t>
      </w:r>
      <w:r>
        <w:rPr>
          <w:rFonts w:ascii="宋体" w:hAnsi="宋体" w:cs="宋体" w:hint="eastAsia"/>
          <w:bCs/>
          <w:sz w:val="24"/>
          <w:szCs w:val="24"/>
        </w:rPr>
        <w:t>根；</w:t>
      </w:r>
      <w:r w:rsidRPr="00EA0479">
        <w:rPr>
          <w:rFonts w:ascii="宋体" w:hAnsi="宋体" w:cs="宋体" w:hint="eastAsia"/>
          <w:bCs/>
          <w:sz w:val="24"/>
          <w:szCs w:val="24"/>
        </w:rPr>
        <w:t>20W</w:t>
      </w:r>
      <w:r>
        <w:rPr>
          <w:rFonts w:ascii="宋体" w:hAnsi="宋体" w:cs="宋体" w:hint="eastAsia"/>
          <w:bCs/>
          <w:sz w:val="24"/>
          <w:szCs w:val="24"/>
        </w:rPr>
        <w:t>，</w:t>
      </w:r>
      <w:r w:rsidRPr="00EA0479">
        <w:rPr>
          <w:rFonts w:ascii="宋体" w:hAnsi="宋体" w:cs="宋体" w:hint="eastAsia"/>
          <w:bCs/>
          <w:sz w:val="24"/>
          <w:szCs w:val="24"/>
        </w:rPr>
        <w:t>1</w:t>
      </w:r>
      <w:r>
        <w:rPr>
          <w:rFonts w:ascii="宋体" w:hAnsi="宋体" w:cs="宋体" w:hint="eastAsia"/>
          <w:bCs/>
          <w:sz w:val="24"/>
          <w:szCs w:val="24"/>
        </w:rPr>
        <w:t>根</w:t>
      </w:r>
    </w:p>
    <w:p w14:paraId="6698308B" w14:textId="77777777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适用人数：单人单面 水平送风</w:t>
      </w:r>
    </w:p>
    <w:p w14:paraId="778B2560" w14:textId="06B41465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工作区尺</w:t>
      </w:r>
      <w:r>
        <w:rPr>
          <w:rFonts w:ascii="宋体" w:hAnsi="宋体" w:cs="宋体" w:hint="eastAsia"/>
          <w:bCs/>
          <w:sz w:val="24"/>
          <w:szCs w:val="24"/>
        </w:rPr>
        <w:t>：≤</w:t>
      </w:r>
      <w:r w:rsidRPr="00EA0479">
        <w:rPr>
          <w:rFonts w:ascii="宋体" w:hAnsi="宋体" w:cs="宋体" w:hint="eastAsia"/>
          <w:bCs/>
          <w:sz w:val="24"/>
          <w:szCs w:val="24"/>
        </w:rPr>
        <w:t>700×400×500mm</w:t>
      </w:r>
    </w:p>
    <w:p w14:paraId="3115BA3B" w14:textId="3B9B6799" w:rsid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/>
          <w:bCs/>
          <w:sz w:val="24"/>
          <w:szCs w:val="24"/>
        </w:rPr>
      </w:pPr>
      <w:r w:rsidRPr="00EA0479">
        <w:rPr>
          <w:rFonts w:ascii="宋体" w:hAnsi="宋体" w:cs="宋体" w:hint="eastAsia"/>
          <w:bCs/>
          <w:sz w:val="24"/>
          <w:szCs w:val="24"/>
        </w:rPr>
        <w:t>外形尺寸：</w:t>
      </w:r>
      <w:r>
        <w:rPr>
          <w:rFonts w:ascii="宋体" w:hAnsi="宋体" w:cs="宋体" w:hint="eastAsia"/>
          <w:bCs/>
          <w:sz w:val="24"/>
          <w:szCs w:val="24"/>
        </w:rPr>
        <w:t>≤</w:t>
      </w:r>
      <w:r w:rsidRPr="00EA0479">
        <w:rPr>
          <w:rFonts w:ascii="宋体" w:hAnsi="宋体" w:cs="宋体" w:hint="eastAsia"/>
          <w:bCs/>
          <w:sz w:val="24"/>
          <w:szCs w:val="24"/>
        </w:rPr>
        <w:t>850×580×1600mm</w:t>
      </w:r>
    </w:p>
    <w:p w14:paraId="53E21CD7" w14:textId="57F7A53C" w:rsidR="00EA0479" w:rsidRPr="00EA0479" w:rsidRDefault="00EA0479" w:rsidP="00EA0479">
      <w:pPr>
        <w:pStyle w:val="af3"/>
        <w:numPr>
          <w:ilvl w:val="0"/>
          <w:numId w:val="2"/>
        </w:numPr>
        <w:spacing w:line="300" w:lineRule="auto"/>
        <w:ind w:firstLineChars="0"/>
        <w:rPr>
          <w:rFonts w:ascii="宋体" w:hAnsi="宋体" w:cs="宋体" w:hint="eastAsia"/>
          <w:bCs/>
          <w:sz w:val="24"/>
          <w:szCs w:val="24"/>
        </w:rPr>
      </w:pPr>
      <w:r>
        <w:rPr>
          <w:rFonts w:ascii="宋体" w:hAnsi="宋体" w:cs="宋体" w:hint="eastAsia"/>
          <w:bCs/>
          <w:sz w:val="24"/>
          <w:szCs w:val="24"/>
        </w:rPr>
        <w:t>*</w:t>
      </w:r>
      <w:r w:rsidRPr="00EA0479">
        <w:rPr>
          <w:rFonts w:ascii="宋体" w:hAnsi="宋体" w:cs="宋体" w:hint="eastAsia"/>
          <w:bCs/>
          <w:sz w:val="24"/>
          <w:szCs w:val="24"/>
        </w:rPr>
        <w:t>高效过滤器</w:t>
      </w:r>
      <w:r>
        <w:rPr>
          <w:rFonts w:ascii="宋体" w:hAnsi="宋体" w:cs="宋体" w:hint="eastAsia"/>
          <w:bCs/>
          <w:sz w:val="24"/>
          <w:szCs w:val="24"/>
        </w:rPr>
        <w:t>3年内免费更换1次，</w:t>
      </w:r>
      <w:r w:rsidRPr="00EA0479">
        <w:rPr>
          <w:rFonts w:ascii="宋体" w:hAnsi="宋体" w:cs="宋体" w:hint="eastAsia"/>
          <w:bCs/>
          <w:sz w:val="24"/>
          <w:szCs w:val="24"/>
        </w:rPr>
        <w:t>紫外灯</w:t>
      </w:r>
      <w:r>
        <w:rPr>
          <w:rFonts w:ascii="宋体" w:hAnsi="宋体" w:cs="宋体" w:hint="eastAsia"/>
          <w:bCs/>
          <w:sz w:val="24"/>
          <w:szCs w:val="24"/>
        </w:rPr>
        <w:t>3年内</w:t>
      </w:r>
      <w:r>
        <w:rPr>
          <w:rFonts w:ascii="宋体" w:hAnsi="宋体" w:cs="宋体" w:hint="eastAsia"/>
          <w:bCs/>
          <w:sz w:val="24"/>
          <w:szCs w:val="24"/>
        </w:rPr>
        <w:t>免费更换</w:t>
      </w:r>
      <w:r>
        <w:rPr>
          <w:rFonts w:ascii="宋体" w:hAnsi="宋体" w:cs="宋体"/>
          <w:bCs/>
          <w:sz w:val="24"/>
          <w:szCs w:val="24"/>
        </w:rPr>
        <w:t>3</w:t>
      </w:r>
      <w:r>
        <w:rPr>
          <w:rFonts w:ascii="宋体" w:hAnsi="宋体" w:cs="宋体" w:hint="eastAsia"/>
          <w:bCs/>
          <w:sz w:val="24"/>
          <w:szCs w:val="24"/>
        </w:rPr>
        <w:t>次</w:t>
      </w:r>
      <w:r>
        <w:rPr>
          <w:rFonts w:ascii="宋体" w:hAnsi="宋体" w:cs="宋体"/>
          <w:bCs/>
          <w:sz w:val="24"/>
          <w:szCs w:val="24"/>
        </w:rPr>
        <w:t xml:space="preserve"> </w:t>
      </w:r>
      <w:r>
        <w:rPr>
          <w:rFonts w:ascii="宋体" w:hAnsi="宋体" w:cs="宋体" w:hint="eastAsia"/>
          <w:bCs/>
          <w:sz w:val="24"/>
          <w:szCs w:val="24"/>
        </w:rPr>
        <w:t>。</w:t>
      </w:r>
    </w:p>
    <w:sectPr w:rsidR="00EA0479" w:rsidRPr="00EA0479">
      <w:footerReference w:type="default" r:id="rId9"/>
      <w:pgSz w:w="11906" w:h="16838"/>
      <w:pgMar w:top="1134" w:right="1134" w:bottom="1134" w:left="779" w:header="851" w:footer="992" w:gutter="567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D78629" w14:textId="77777777" w:rsidR="001A2B0D" w:rsidRDefault="001A2B0D">
      <w:r>
        <w:separator/>
      </w:r>
    </w:p>
  </w:endnote>
  <w:endnote w:type="continuationSeparator" w:id="0">
    <w:p w14:paraId="7E53D52E" w14:textId="77777777" w:rsidR="001A2B0D" w:rsidRDefault="001A2B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2C7275" w14:textId="77777777" w:rsidR="00F919AE" w:rsidRDefault="00F919AE">
    <w:pPr>
      <w:pStyle w:val="ab"/>
      <w:jc w:val="center"/>
      <w:rPr>
        <w:rFonts w:asciiTheme="majorEastAsia" w:eastAsiaTheme="majorEastAsia" w:hAnsiTheme="majorEastAsia"/>
        <w:sz w:val="21"/>
        <w:szCs w:val="21"/>
      </w:rPr>
    </w:pPr>
  </w:p>
  <w:p w14:paraId="632FCC31" w14:textId="77777777" w:rsidR="00F919AE" w:rsidRDefault="00F919AE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7C63CA" w14:textId="77777777" w:rsidR="001A2B0D" w:rsidRDefault="001A2B0D">
      <w:r>
        <w:separator/>
      </w:r>
    </w:p>
  </w:footnote>
  <w:footnote w:type="continuationSeparator" w:id="0">
    <w:p w14:paraId="474B382E" w14:textId="77777777" w:rsidR="001A2B0D" w:rsidRDefault="001A2B0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572360"/>
    <w:multiLevelType w:val="hybridMultilevel"/>
    <w:tmpl w:val="B8D4495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6AB74003"/>
    <w:multiLevelType w:val="multilevel"/>
    <w:tmpl w:val="6AB74003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24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7D9E"/>
    <w:rsid w:val="00014D8A"/>
    <w:rsid w:val="00031857"/>
    <w:rsid w:val="00050F11"/>
    <w:rsid w:val="00055ECE"/>
    <w:rsid w:val="00066511"/>
    <w:rsid w:val="00076F12"/>
    <w:rsid w:val="00087E9B"/>
    <w:rsid w:val="000A33A8"/>
    <w:rsid w:val="000B3757"/>
    <w:rsid w:val="000C05F7"/>
    <w:rsid w:val="000C71B9"/>
    <w:rsid w:val="000F0F94"/>
    <w:rsid w:val="00114159"/>
    <w:rsid w:val="00122C2D"/>
    <w:rsid w:val="001246F1"/>
    <w:rsid w:val="00136CCA"/>
    <w:rsid w:val="00142198"/>
    <w:rsid w:val="00144D1E"/>
    <w:rsid w:val="001471DC"/>
    <w:rsid w:val="00150AA2"/>
    <w:rsid w:val="00151A8A"/>
    <w:rsid w:val="0018742F"/>
    <w:rsid w:val="00195202"/>
    <w:rsid w:val="00197C4F"/>
    <w:rsid w:val="001A2B0D"/>
    <w:rsid w:val="001B257B"/>
    <w:rsid w:val="001C4CB7"/>
    <w:rsid w:val="001D4D16"/>
    <w:rsid w:val="001E23FB"/>
    <w:rsid w:val="001F3881"/>
    <w:rsid w:val="0021696A"/>
    <w:rsid w:val="00217E6E"/>
    <w:rsid w:val="00217E7D"/>
    <w:rsid w:val="00227444"/>
    <w:rsid w:val="00240A2E"/>
    <w:rsid w:val="00241D0D"/>
    <w:rsid w:val="0024342D"/>
    <w:rsid w:val="00262A41"/>
    <w:rsid w:val="00265207"/>
    <w:rsid w:val="00277B54"/>
    <w:rsid w:val="0029401A"/>
    <w:rsid w:val="002C77A4"/>
    <w:rsid w:val="002D54A9"/>
    <w:rsid w:val="002E16AD"/>
    <w:rsid w:val="002E48D7"/>
    <w:rsid w:val="002F1C50"/>
    <w:rsid w:val="002F70EB"/>
    <w:rsid w:val="003334A0"/>
    <w:rsid w:val="00333BE1"/>
    <w:rsid w:val="003442AC"/>
    <w:rsid w:val="003477B1"/>
    <w:rsid w:val="00351AC5"/>
    <w:rsid w:val="003573A5"/>
    <w:rsid w:val="00370AE0"/>
    <w:rsid w:val="003B2FBC"/>
    <w:rsid w:val="003B539E"/>
    <w:rsid w:val="003C33B5"/>
    <w:rsid w:val="003D5D61"/>
    <w:rsid w:val="00407D9E"/>
    <w:rsid w:val="00417A91"/>
    <w:rsid w:val="00424FB9"/>
    <w:rsid w:val="004310B6"/>
    <w:rsid w:val="004420F0"/>
    <w:rsid w:val="00451D19"/>
    <w:rsid w:val="00476299"/>
    <w:rsid w:val="00477D53"/>
    <w:rsid w:val="00497417"/>
    <w:rsid w:val="004A0D25"/>
    <w:rsid w:val="004C1B63"/>
    <w:rsid w:val="004D3301"/>
    <w:rsid w:val="004E446F"/>
    <w:rsid w:val="004E5CFA"/>
    <w:rsid w:val="004F204F"/>
    <w:rsid w:val="00507EDF"/>
    <w:rsid w:val="00510919"/>
    <w:rsid w:val="00511680"/>
    <w:rsid w:val="0054259E"/>
    <w:rsid w:val="00544ED2"/>
    <w:rsid w:val="005467F6"/>
    <w:rsid w:val="00567A96"/>
    <w:rsid w:val="00575C7B"/>
    <w:rsid w:val="00581763"/>
    <w:rsid w:val="00594C2E"/>
    <w:rsid w:val="005A711E"/>
    <w:rsid w:val="005B1104"/>
    <w:rsid w:val="005B3E8E"/>
    <w:rsid w:val="005E699B"/>
    <w:rsid w:val="00644272"/>
    <w:rsid w:val="00666068"/>
    <w:rsid w:val="006802F5"/>
    <w:rsid w:val="00682F88"/>
    <w:rsid w:val="00686B66"/>
    <w:rsid w:val="00687E20"/>
    <w:rsid w:val="0069114C"/>
    <w:rsid w:val="006D4956"/>
    <w:rsid w:val="006D5F55"/>
    <w:rsid w:val="00702F5A"/>
    <w:rsid w:val="007213FB"/>
    <w:rsid w:val="00753E7A"/>
    <w:rsid w:val="00757111"/>
    <w:rsid w:val="00757265"/>
    <w:rsid w:val="00760418"/>
    <w:rsid w:val="00771061"/>
    <w:rsid w:val="00783997"/>
    <w:rsid w:val="00796110"/>
    <w:rsid w:val="007B4415"/>
    <w:rsid w:val="007D4E30"/>
    <w:rsid w:val="007D7B19"/>
    <w:rsid w:val="007F01BB"/>
    <w:rsid w:val="00801608"/>
    <w:rsid w:val="00821CCC"/>
    <w:rsid w:val="00825051"/>
    <w:rsid w:val="00825146"/>
    <w:rsid w:val="008305C0"/>
    <w:rsid w:val="00857AA1"/>
    <w:rsid w:val="0086099A"/>
    <w:rsid w:val="00871D61"/>
    <w:rsid w:val="00882DB8"/>
    <w:rsid w:val="00892AF9"/>
    <w:rsid w:val="00895EA5"/>
    <w:rsid w:val="008B1143"/>
    <w:rsid w:val="008B6070"/>
    <w:rsid w:val="008C3D54"/>
    <w:rsid w:val="008C58E4"/>
    <w:rsid w:val="008C6C75"/>
    <w:rsid w:val="008D48CE"/>
    <w:rsid w:val="00932D34"/>
    <w:rsid w:val="009346C7"/>
    <w:rsid w:val="0093637B"/>
    <w:rsid w:val="009408EA"/>
    <w:rsid w:val="00963F42"/>
    <w:rsid w:val="009853E8"/>
    <w:rsid w:val="009908E6"/>
    <w:rsid w:val="009940E1"/>
    <w:rsid w:val="00997D03"/>
    <w:rsid w:val="009A67C6"/>
    <w:rsid w:val="009A781C"/>
    <w:rsid w:val="009B3F8C"/>
    <w:rsid w:val="009C46C6"/>
    <w:rsid w:val="009D6873"/>
    <w:rsid w:val="009F1AA2"/>
    <w:rsid w:val="00A005C3"/>
    <w:rsid w:val="00A1127A"/>
    <w:rsid w:val="00A12FEB"/>
    <w:rsid w:val="00A304D9"/>
    <w:rsid w:val="00A446D0"/>
    <w:rsid w:val="00A566DD"/>
    <w:rsid w:val="00A65DC5"/>
    <w:rsid w:val="00A76878"/>
    <w:rsid w:val="00A81D70"/>
    <w:rsid w:val="00A9304A"/>
    <w:rsid w:val="00A93EF7"/>
    <w:rsid w:val="00A9507C"/>
    <w:rsid w:val="00AA0C98"/>
    <w:rsid w:val="00AB6919"/>
    <w:rsid w:val="00AC12F9"/>
    <w:rsid w:val="00AC58FE"/>
    <w:rsid w:val="00AC5E36"/>
    <w:rsid w:val="00AD0676"/>
    <w:rsid w:val="00B210ED"/>
    <w:rsid w:val="00B460D5"/>
    <w:rsid w:val="00B578FC"/>
    <w:rsid w:val="00B60558"/>
    <w:rsid w:val="00B60D77"/>
    <w:rsid w:val="00B867C7"/>
    <w:rsid w:val="00B93AA4"/>
    <w:rsid w:val="00BB1F91"/>
    <w:rsid w:val="00BB44EC"/>
    <w:rsid w:val="00BE0126"/>
    <w:rsid w:val="00BE583E"/>
    <w:rsid w:val="00BF10F1"/>
    <w:rsid w:val="00BF4FEB"/>
    <w:rsid w:val="00C10E20"/>
    <w:rsid w:val="00C114F1"/>
    <w:rsid w:val="00C467D6"/>
    <w:rsid w:val="00C476B9"/>
    <w:rsid w:val="00C86415"/>
    <w:rsid w:val="00C95DBD"/>
    <w:rsid w:val="00CA2974"/>
    <w:rsid w:val="00CA504E"/>
    <w:rsid w:val="00CA554D"/>
    <w:rsid w:val="00CB7B6D"/>
    <w:rsid w:val="00CC3CF3"/>
    <w:rsid w:val="00CC7687"/>
    <w:rsid w:val="00CD0474"/>
    <w:rsid w:val="00CE43DD"/>
    <w:rsid w:val="00D11832"/>
    <w:rsid w:val="00D274F3"/>
    <w:rsid w:val="00D42538"/>
    <w:rsid w:val="00D67711"/>
    <w:rsid w:val="00D71089"/>
    <w:rsid w:val="00D73366"/>
    <w:rsid w:val="00D8481E"/>
    <w:rsid w:val="00D85376"/>
    <w:rsid w:val="00D92073"/>
    <w:rsid w:val="00DA332A"/>
    <w:rsid w:val="00DB75CB"/>
    <w:rsid w:val="00DC2B8E"/>
    <w:rsid w:val="00DD581F"/>
    <w:rsid w:val="00DF2DD3"/>
    <w:rsid w:val="00E30322"/>
    <w:rsid w:val="00E43528"/>
    <w:rsid w:val="00E46C30"/>
    <w:rsid w:val="00E47CAF"/>
    <w:rsid w:val="00EA0479"/>
    <w:rsid w:val="00EA5A20"/>
    <w:rsid w:val="00EB41A7"/>
    <w:rsid w:val="00EB7064"/>
    <w:rsid w:val="00ED1241"/>
    <w:rsid w:val="00ED737A"/>
    <w:rsid w:val="00EE05E0"/>
    <w:rsid w:val="00EF19A0"/>
    <w:rsid w:val="00EF518A"/>
    <w:rsid w:val="00EF6941"/>
    <w:rsid w:val="00F049A2"/>
    <w:rsid w:val="00F140D8"/>
    <w:rsid w:val="00F438F2"/>
    <w:rsid w:val="00F44CBD"/>
    <w:rsid w:val="00F5530D"/>
    <w:rsid w:val="00F86987"/>
    <w:rsid w:val="00F919AE"/>
    <w:rsid w:val="00F9351A"/>
    <w:rsid w:val="00F9437B"/>
    <w:rsid w:val="00FC1A64"/>
    <w:rsid w:val="00FD4A23"/>
    <w:rsid w:val="00FD5014"/>
    <w:rsid w:val="00FE23ED"/>
    <w:rsid w:val="00FF4296"/>
    <w:rsid w:val="0B545A4A"/>
    <w:rsid w:val="30782AC3"/>
    <w:rsid w:val="5E9A3A40"/>
    <w:rsid w:val="7D957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F4FDBCE"/>
  <w15:docId w15:val="{A7467F88-2260-4A36-B618-C942C7E881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uiPriority="9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qFormat="1"/>
    <w:lsdException w:name="footnote text" w:semiHidden="1" w:unhideWhenUsed="1"/>
    <w:lsdException w:name="annotation text" w:unhideWhenUsed="1" w:qFormat="1"/>
    <w:lsdException w:name="header" w:qFormat="1"/>
    <w:lsdException w:name="footer" w:uiPriority="99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Dat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qFormat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4"/>
    <w:qFormat/>
    <w:pPr>
      <w:widowControl w:val="0"/>
      <w:jc w:val="both"/>
    </w:pPr>
    <w:rPr>
      <w:kern w:val="2"/>
      <w:sz w:val="21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290" w:line="376" w:lineRule="auto"/>
      <w:outlineLvl w:val="3"/>
    </w:pPr>
    <w:rPr>
      <w:rFonts w:ascii="Cambria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pPr>
      <w:ind w:firstLineChars="200" w:firstLine="420"/>
    </w:pPr>
    <w:rPr>
      <w:kern w:val="0"/>
      <w:sz w:val="24"/>
      <w:szCs w:val="24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annotation text"/>
    <w:basedOn w:val="a"/>
    <w:link w:val="a6"/>
    <w:unhideWhenUsed/>
    <w:qFormat/>
    <w:pPr>
      <w:jc w:val="left"/>
    </w:pPr>
  </w:style>
  <w:style w:type="paragraph" w:styleId="a7">
    <w:name w:val="Date"/>
    <w:basedOn w:val="a"/>
    <w:next w:val="a"/>
    <w:link w:val="a8"/>
    <w:qFormat/>
    <w:pPr>
      <w:ind w:leftChars="2500" w:left="100"/>
    </w:pPr>
  </w:style>
  <w:style w:type="paragraph" w:styleId="a9">
    <w:name w:val="Balloon Text"/>
    <w:basedOn w:val="a"/>
    <w:link w:val="aa"/>
    <w:unhideWhenUsed/>
    <w:qFormat/>
    <w:rPr>
      <w:sz w:val="18"/>
      <w:szCs w:val="18"/>
    </w:rPr>
  </w:style>
  <w:style w:type="paragraph" w:styleId="ab">
    <w:name w:val="footer"/>
    <w:basedOn w:val="a"/>
    <w:link w:val="ac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d">
    <w:name w:val="header"/>
    <w:basedOn w:val="a"/>
    <w:link w:val="ae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5"/>
    <w:next w:val="a5"/>
    <w:link w:val="af0"/>
    <w:unhideWhenUsed/>
    <w:qFormat/>
    <w:rPr>
      <w:b/>
      <w:bCs/>
    </w:rPr>
  </w:style>
  <w:style w:type="table" w:styleId="af1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2">
    <w:name w:val="annotation reference"/>
    <w:basedOn w:val="a0"/>
    <w:unhideWhenUsed/>
    <w:qFormat/>
    <w:rPr>
      <w:sz w:val="21"/>
      <w:szCs w:val="21"/>
    </w:rPr>
  </w:style>
  <w:style w:type="character" w:customStyle="1" w:styleId="ae">
    <w:name w:val="页眉 字符"/>
    <w:link w:val="ad"/>
    <w:qFormat/>
    <w:rPr>
      <w:kern w:val="2"/>
      <w:sz w:val="18"/>
      <w:szCs w:val="18"/>
    </w:rPr>
  </w:style>
  <w:style w:type="character" w:customStyle="1" w:styleId="ac">
    <w:name w:val="页脚 字符"/>
    <w:link w:val="ab"/>
    <w:uiPriority w:val="99"/>
    <w:qFormat/>
    <w:rPr>
      <w:kern w:val="2"/>
      <w:sz w:val="18"/>
      <w:szCs w:val="18"/>
    </w:rPr>
  </w:style>
  <w:style w:type="paragraph" w:customStyle="1" w:styleId="ParaCharCharCharCharCharCharCharCharCharCharCharCharCharCharChar1CharCharCharChar">
    <w:name w:val="默认段落字体 Para Char Char Char Char Char Char Char Char Char Char Char Char Char Char Char1 Char Char Char Char"/>
    <w:basedOn w:val="a4"/>
    <w:qFormat/>
    <w:pPr>
      <w:adjustRightInd w:val="0"/>
      <w:spacing w:line="436" w:lineRule="exact"/>
      <w:ind w:left="357"/>
      <w:jc w:val="left"/>
      <w:outlineLvl w:val="3"/>
    </w:pPr>
    <w:rPr>
      <w:rFonts w:ascii="Tahoma" w:hAnsi="Tahoma"/>
      <w:b/>
      <w:sz w:val="24"/>
      <w:szCs w:val="24"/>
    </w:rPr>
  </w:style>
  <w:style w:type="character" w:customStyle="1" w:styleId="a6">
    <w:name w:val="批注文字 字符"/>
    <w:basedOn w:val="a0"/>
    <w:link w:val="a5"/>
    <w:semiHidden/>
    <w:qFormat/>
    <w:rPr>
      <w:kern w:val="2"/>
      <w:sz w:val="21"/>
    </w:rPr>
  </w:style>
  <w:style w:type="character" w:customStyle="1" w:styleId="af0">
    <w:name w:val="批注主题 字符"/>
    <w:basedOn w:val="a6"/>
    <w:link w:val="af"/>
    <w:semiHidden/>
    <w:qFormat/>
    <w:rPr>
      <w:b/>
      <w:bCs/>
      <w:kern w:val="2"/>
      <w:sz w:val="21"/>
    </w:rPr>
  </w:style>
  <w:style w:type="character" w:customStyle="1" w:styleId="aa">
    <w:name w:val="批注框文本 字符"/>
    <w:basedOn w:val="a0"/>
    <w:link w:val="a9"/>
    <w:semiHidden/>
    <w:qFormat/>
    <w:rPr>
      <w:kern w:val="2"/>
      <w:sz w:val="18"/>
      <w:szCs w:val="18"/>
    </w:rPr>
  </w:style>
  <w:style w:type="paragraph" w:styleId="af3">
    <w:name w:val="List Paragraph"/>
    <w:basedOn w:val="a"/>
    <w:uiPriority w:val="34"/>
    <w:qFormat/>
    <w:pPr>
      <w:ind w:firstLineChars="200" w:firstLine="420"/>
    </w:pPr>
  </w:style>
  <w:style w:type="character" w:customStyle="1" w:styleId="a8">
    <w:name w:val="日期 字符"/>
    <w:basedOn w:val="a0"/>
    <w:link w:val="a7"/>
    <w:qFormat/>
    <w:rPr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024CD5F-9C7D-4552-BA22-18FF14C25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144</Words>
  <Characters>821</Characters>
  <Application>Microsoft Office Word</Application>
  <DocSecurity>0</DocSecurity>
  <Lines>6</Lines>
  <Paragraphs>1</Paragraphs>
  <ScaleCrop>false</ScaleCrop>
  <Company>WwW.YlmF.CoM</Company>
  <LinksUpToDate>false</LinksUpToDate>
  <CharactersWithSpaces>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附件四：                        医疗设备参数对比表</dc:title>
  <dc:creator>YlmF</dc:creator>
  <cp:lastModifiedBy>万 星人</cp:lastModifiedBy>
  <cp:revision>2</cp:revision>
  <cp:lastPrinted>2021-09-28T01:50:00Z</cp:lastPrinted>
  <dcterms:created xsi:type="dcterms:W3CDTF">2021-09-29T10:25:00Z</dcterms:created>
  <dcterms:modified xsi:type="dcterms:W3CDTF">2021-09-29T10:25:00Z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2052-11.1.0.9997</vt:lpwstr>
  </property>
  <property fmtid="{D5CDD505-2E9C-101B-9397-08002B2CF9AE}" pid="3" name="ICV">
    <vt:lpwstr>E868C9AA8C3049D9BD294CA446642406</vt:lpwstr>
  </property>
</Properties>
</file>