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sz w:val="28"/>
        </w:rPr>
      </w:pPr>
      <w:bookmarkStart w:id="0" w:name="_GoBack"/>
      <w:bookmarkEnd w:id="0"/>
    </w:p>
    <w:p>
      <w:pPr>
        <w:spacing w:line="360" w:lineRule="auto"/>
        <w:jc w:val="center"/>
        <w:rPr>
          <w:rFonts w:ascii="黑体" w:hAnsi="黑体" w:eastAsia="黑体"/>
          <w:b/>
          <w:sz w:val="44"/>
        </w:rPr>
      </w:pPr>
      <w:r>
        <w:rPr>
          <w:rFonts w:hint="eastAsia" w:ascii="黑体" w:hAnsi="黑体" w:eastAsia="黑体"/>
          <w:b/>
          <w:sz w:val="44"/>
        </w:rPr>
        <w:t>马鞍山市人民医院东院病理科通风、实验配套装备采购及安装项目</w:t>
      </w:r>
    </w:p>
    <w:p>
      <w:pPr>
        <w:pStyle w:val="24"/>
        <w:ind w:firstLine="0" w:firstLineChars="0"/>
        <w:rPr>
          <w:rFonts w:ascii="宋体" w:hAnsi="宋体" w:cs="宋体"/>
          <w:sz w:val="24"/>
          <w:szCs w:val="24"/>
        </w:rPr>
      </w:pPr>
      <w:r>
        <w:rPr>
          <w:rFonts w:hint="eastAsia" w:ascii="宋体" w:hAnsi="宋体" w:cs="宋体"/>
          <w:b/>
          <w:bCs/>
          <w:sz w:val="24"/>
          <w:szCs w:val="24"/>
        </w:rPr>
        <w:t>1、评标办法</w:t>
      </w:r>
      <w:r>
        <w:rPr>
          <w:rFonts w:hint="eastAsia" w:ascii="宋体" w:hAnsi="宋体" w:cs="宋体"/>
          <w:sz w:val="24"/>
          <w:szCs w:val="24"/>
        </w:rPr>
        <w:t>：采购招标</w:t>
      </w:r>
    </w:p>
    <w:p>
      <w:pPr>
        <w:spacing w:line="480" w:lineRule="exact"/>
        <w:rPr>
          <w:rFonts w:ascii="宋体" w:hAnsi="宋体" w:cs="宋体"/>
          <w:sz w:val="24"/>
          <w:szCs w:val="24"/>
        </w:rPr>
      </w:pPr>
      <w:r>
        <w:rPr>
          <w:rFonts w:hint="eastAsia" w:ascii="宋体" w:hAnsi="宋体" w:cs="宋体"/>
          <w:b/>
          <w:bCs/>
          <w:sz w:val="24"/>
          <w:szCs w:val="24"/>
        </w:rPr>
        <w:t>2、项目控制金额</w:t>
      </w:r>
      <w:r>
        <w:rPr>
          <w:rFonts w:hint="eastAsia" w:ascii="宋体" w:hAnsi="宋体" w:cs="宋体"/>
          <w:sz w:val="24"/>
          <w:szCs w:val="24"/>
        </w:rPr>
        <w:t>：</w:t>
      </w:r>
      <w:r>
        <w:rPr>
          <w:rFonts w:hint="eastAsia" w:eastAsia="黑体"/>
          <w:sz w:val="32"/>
          <w:szCs w:val="32"/>
        </w:rPr>
        <w:t>28.5225万元</w:t>
      </w:r>
      <w:r>
        <w:rPr>
          <w:rFonts w:hint="eastAsia" w:ascii="宋体" w:hAnsi="宋体" w:cs="宋体"/>
          <w:sz w:val="24"/>
          <w:szCs w:val="24"/>
        </w:rPr>
        <w:t>（一次性)。</w:t>
      </w:r>
    </w:p>
    <w:tbl>
      <w:tblPr>
        <w:tblStyle w:val="14"/>
        <w:tblW w:w="9622" w:type="dxa"/>
        <w:tblInd w:w="0" w:type="dxa"/>
        <w:tblLayout w:type="fixed"/>
        <w:tblCellMar>
          <w:top w:w="0" w:type="dxa"/>
          <w:left w:w="0" w:type="dxa"/>
          <w:bottom w:w="0" w:type="dxa"/>
          <w:right w:w="0" w:type="dxa"/>
        </w:tblCellMar>
      </w:tblPr>
      <w:tblGrid>
        <w:gridCol w:w="461"/>
        <w:gridCol w:w="941"/>
        <w:gridCol w:w="4995"/>
        <w:gridCol w:w="1005"/>
        <w:gridCol w:w="1110"/>
        <w:gridCol w:w="1110"/>
      </w:tblGrid>
      <w:tr>
        <w:tblPrEx>
          <w:tblCellMar>
            <w:top w:w="0" w:type="dxa"/>
            <w:left w:w="0" w:type="dxa"/>
            <w:bottom w:w="0" w:type="dxa"/>
            <w:right w:w="0" w:type="dxa"/>
          </w:tblCellMar>
        </w:tblPrEx>
        <w:trPr>
          <w:trHeight w:val="439"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项目名称</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项目特征</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单位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数量</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kern w:val="0"/>
                <w:sz w:val="20"/>
                <w:szCs w:val="20"/>
                <w:lang w:bidi="ar"/>
              </w:rPr>
            </w:pPr>
            <w:r>
              <w:rPr>
                <w:rFonts w:hint="eastAsia" w:ascii="宋体" w:hAnsi="宋体" w:cs="宋体"/>
                <w:b/>
                <w:color w:val="000000"/>
                <w:kern w:val="0"/>
                <w:sz w:val="20"/>
                <w:szCs w:val="20"/>
                <w:lang w:bidi="ar"/>
              </w:rPr>
              <w:t>最高限价</w:t>
            </w:r>
          </w:p>
        </w:tc>
      </w:tr>
      <w:tr>
        <w:tblPrEx>
          <w:tblCellMar>
            <w:top w:w="0" w:type="dxa"/>
            <w:left w:w="0" w:type="dxa"/>
            <w:bottom w:w="0" w:type="dxa"/>
            <w:right w:w="0" w:type="dxa"/>
          </w:tblCellMar>
        </w:tblPrEx>
        <w:trPr>
          <w:trHeight w:val="619"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 xml:space="preserve"> </w:t>
            </w:r>
          </w:p>
        </w:tc>
        <w:tc>
          <w:tcPr>
            <w:tcW w:w="805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实验配套装备</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kern w:val="0"/>
                <w:sz w:val="20"/>
                <w:szCs w:val="20"/>
                <w:lang w:bidi="ar"/>
              </w:rPr>
            </w:pPr>
          </w:p>
        </w:tc>
      </w:tr>
      <w:tr>
        <w:tblPrEx>
          <w:tblCellMar>
            <w:top w:w="0" w:type="dxa"/>
            <w:left w:w="0" w:type="dxa"/>
            <w:bottom w:w="0" w:type="dxa"/>
            <w:right w:w="0" w:type="dxa"/>
          </w:tblCellMar>
        </w:tblPrEx>
        <w:trPr>
          <w:trHeight w:val="115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安全型不锈钢标本柜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pPr>
            <w:r>
              <w:rPr>
                <w:rFonts w:hint="eastAsia"/>
              </w:rPr>
              <w:t>，800*600*2000mm， 含聚丙烯塑料一体成型专用标本盒10只。（其中容量为11升的4只、22升的6只）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sz w:val="20"/>
                <w:szCs w:val="20"/>
              </w:rPr>
            </w:pPr>
            <w:r>
              <w:rPr>
                <w:rFonts w:hint="eastAsia" w:ascii="宋体" w:hAnsi="宋体" w:cs="宋体"/>
                <w:kern w:val="0"/>
                <w:sz w:val="20"/>
                <w:szCs w:val="20"/>
                <w:lang w:bidi="ar"/>
              </w:rPr>
              <w:t xml:space="preserve">1 </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kern w:val="0"/>
                <w:sz w:val="20"/>
                <w:szCs w:val="20"/>
                <w:lang w:bidi="ar"/>
              </w:rPr>
            </w:pPr>
            <w:r>
              <w:rPr>
                <w:rFonts w:hint="eastAsia" w:ascii="宋体" w:hAnsi="宋体" w:cs="宋体"/>
                <w:kern w:val="0"/>
                <w:sz w:val="20"/>
                <w:szCs w:val="20"/>
                <w:lang w:bidi="ar"/>
              </w:rPr>
              <w:t>20000</w:t>
            </w:r>
          </w:p>
        </w:tc>
      </w:tr>
      <w:tr>
        <w:tblPrEx>
          <w:tblCellMar>
            <w:top w:w="0" w:type="dxa"/>
            <w:left w:w="0" w:type="dxa"/>
            <w:bottom w:w="0" w:type="dxa"/>
            <w:right w:w="0" w:type="dxa"/>
          </w:tblCellMar>
        </w:tblPrEx>
        <w:trPr>
          <w:trHeight w:val="92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冷藏型标本柜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尺寸：1200*800*2000mm。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sz w:val="20"/>
                <w:szCs w:val="20"/>
              </w:rPr>
            </w:pPr>
            <w:r>
              <w:rPr>
                <w:rFonts w:hint="eastAsia" w:ascii="宋体" w:hAnsi="宋体" w:cs="宋体"/>
                <w:kern w:val="0"/>
                <w:sz w:val="20"/>
                <w:szCs w:val="20"/>
                <w:lang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kern w:val="0"/>
                <w:sz w:val="20"/>
                <w:szCs w:val="20"/>
                <w:lang w:bidi="ar"/>
              </w:rPr>
            </w:pPr>
            <w:r>
              <w:rPr>
                <w:rFonts w:hint="eastAsia" w:ascii="宋体" w:hAnsi="宋体" w:cs="宋体"/>
                <w:kern w:val="0"/>
                <w:sz w:val="20"/>
                <w:szCs w:val="20"/>
                <w:lang w:bidi="ar"/>
              </w:rPr>
              <w:t>46500</w:t>
            </w:r>
          </w:p>
        </w:tc>
      </w:tr>
      <w:tr>
        <w:tblPrEx>
          <w:tblCellMar>
            <w:top w:w="0" w:type="dxa"/>
            <w:left w:w="0" w:type="dxa"/>
            <w:bottom w:w="0" w:type="dxa"/>
            <w:right w:w="0" w:type="dxa"/>
          </w:tblCellMar>
        </w:tblPrEx>
        <w:trPr>
          <w:trHeight w:val="83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脱水通风柜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尺寸：1900*1100*2350mm，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18500</w:t>
            </w:r>
          </w:p>
        </w:tc>
      </w:tr>
      <w:tr>
        <w:tblPrEx>
          <w:tblCellMar>
            <w:top w:w="0" w:type="dxa"/>
            <w:left w:w="0" w:type="dxa"/>
            <w:bottom w:w="0" w:type="dxa"/>
            <w:right w:w="0" w:type="dxa"/>
          </w:tblCellMar>
        </w:tblPrEx>
        <w:trPr>
          <w:trHeight w:val="1284"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自动染色封片一体通风柜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尺寸：2400*1100*2350mm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46000</w:t>
            </w:r>
          </w:p>
        </w:tc>
      </w:tr>
      <w:tr>
        <w:tblPrEx>
          <w:tblCellMar>
            <w:top w:w="0" w:type="dxa"/>
            <w:left w:w="0" w:type="dxa"/>
            <w:bottom w:w="0" w:type="dxa"/>
            <w:right w:w="0" w:type="dxa"/>
          </w:tblCellMar>
        </w:tblPrEx>
        <w:trPr>
          <w:trHeight w:val="1122"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台式紧急洗眼器</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PP材质外壳，内部全铜材质，可自由旋转</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kern w:val="0"/>
                <w:sz w:val="20"/>
                <w:szCs w:val="20"/>
                <w:lang w:bidi="ar"/>
              </w:rPr>
            </w:pPr>
            <w:r>
              <w:rPr>
                <w:rFonts w:hint="eastAsia" w:ascii="宋体" w:hAnsi="宋体" w:cs="宋体"/>
                <w:color w:val="252525"/>
                <w:kern w:val="0"/>
                <w:sz w:val="20"/>
                <w:szCs w:val="20"/>
                <w:lang w:bidi="ar"/>
              </w:rPr>
              <w:t>1800</w:t>
            </w:r>
          </w:p>
        </w:tc>
      </w:tr>
      <w:tr>
        <w:tblPrEx>
          <w:tblCellMar>
            <w:top w:w="0" w:type="dxa"/>
            <w:left w:w="0" w:type="dxa"/>
            <w:bottom w:w="0" w:type="dxa"/>
            <w:right w:w="0" w:type="dxa"/>
          </w:tblCellMar>
        </w:tblPrEx>
        <w:trPr>
          <w:trHeight w:val="156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立式紧急喷淋洗眼器</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室内安装，由淋浴喷头、洗眼器立柱、底座、等组成，不锈钢水盆采用304无毒材料,防腐蚀性能良好，喷淋器的出水量为120升/分钟-----180升/分钟，流量12-15升/分,常温水，操作压力为水压0.35mpa。</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2500</w:t>
            </w:r>
          </w:p>
        </w:tc>
      </w:tr>
      <w:tr>
        <w:tblPrEx>
          <w:tblCellMar>
            <w:top w:w="0" w:type="dxa"/>
            <w:left w:w="0" w:type="dxa"/>
            <w:bottom w:w="0" w:type="dxa"/>
            <w:right w:w="0" w:type="dxa"/>
          </w:tblCellMar>
        </w:tblPrEx>
        <w:trPr>
          <w:trHeight w:val="915"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边台</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规格：Mx600x800mm，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18050</w:t>
            </w:r>
          </w:p>
        </w:tc>
      </w:tr>
      <w:tr>
        <w:tblPrEx>
          <w:tblCellMar>
            <w:top w:w="0" w:type="dxa"/>
            <w:left w:w="0" w:type="dxa"/>
            <w:bottom w:w="0" w:type="dxa"/>
            <w:right w:w="0" w:type="dxa"/>
          </w:tblCellMar>
        </w:tblPrEx>
        <w:trPr>
          <w:trHeight w:val="90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边台</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规格：Mx750x800mm，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29.5 </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63425</w:t>
            </w:r>
          </w:p>
        </w:tc>
      </w:tr>
      <w:tr>
        <w:tblPrEx>
          <w:tblCellMar>
            <w:top w:w="0" w:type="dxa"/>
            <w:left w:w="0" w:type="dxa"/>
            <w:bottom w:w="0" w:type="dxa"/>
            <w:right w:w="0" w:type="dxa"/>
          </w:tblCellMar>
        </w:tblPrEx>
        <w:trPr>
          <w:trHeight w:val="90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边台</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规格：Mx900x800mm，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14.5 </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33350</w:t>
            </w:r>
          </w:p>
        </w:tc>
      </w:tr>
      <w:tr>
        <w:tblPrEx>
          <w:tblCellMar>
            <w:top w:w="0" w:type="dxa"/>
            <w:left w:w="0" w:type="dxa"/>
            <w:bottom w:w="0" w:type="dxa"/>
            <w:right w:w="0" w:type="dxa"/>
          </w:tblCellMar>
        </w:tblPrEx>
        <w:trPr>
          <w:trHeight w:val="90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转角台</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规格：1000x1000x800mm，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2150</w:t>
            </w:r>
          </w:p>
        </w:tc>
      </w:tr>
      <w:tr>
        <w:tblPrEx>
          <w:tblCellMar>
            <w:top w:w="0" w:type="dxa"/>
            <w:left w:w="0" w:type="dxa"/>
            <w:bottom w:w="0" w:type="dxa"/>
            <w:right w:w="0" w:type="dxa"/>
          </w:tblCellMar>
        </w:tblPrEx>
        <w:trPr>
          <w:trHeight w:val="900"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PP小水槽</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440*340*280mm</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 xml:space="preserve">1 </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kern w:val="0"/>
                <w:sz w:val="20"/>
                <w:szCs w:val="20"/>
                <w:lang w:bidi="ar"/>
              </w:rPr>
            </w:pPr>
            <w:r>
              <w:rPr>
                <w:rFonts w:hint="eastAsia" w:ascii="宋体" w:hAnsi="宋体" w:cs="宋体"/>
                <w:color w:val="252525"/>
                <w:kern w:val="0"/>
                <w:sz w:val="20"/>
                <w:szCs w:val="20"/>
                <w:lang w:bidi="ar"/>
              </w:rPr>
              <w:t>850</w:t>
            </w:r>
          </w:p>
        </w:tc>
      </w:tr>
      <w:tr>
        <w:tblPrEx>
          <w:tblCellMar>
            <w:top w:w="0" w:type="dxa"/>
            <w:left w:w="0" w:type="dxa"/>
            <w:bottom w:w="0" w:type="dxa"/>
            <w:right w:w="0" w:type="dxa"/>
          </w:tblCellMar>
        </w:tblPrEx>
        <w:trPr>
          <w:trHeight w:val="849"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PP中水槽</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550*450*310mm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6000</w:t>
            </w:r>
          </w:p>
        </w:tc>
      </w:tr>
      <w:tr>
        <w:tblPrEx>
          <w:tblCellMar>
            <w:top w:w="0" w:type="dxa"/>
            <w:left w:w="0" w:type="dxa"/>
            <w:bottom w:w="0" w:type="dxa"/>
            <w:right w:w="0" w:type="dxa"/>
          </w:tblCellMar>
        </w:tblPrEx>
        <w:trPr>
          <w:trHeight w:val="1112"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切片柜（玻片柜）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规格（mm）：W403×D478×H1620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组</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color w:val="252525"/>
                <w:kern w:val="0"/>
                <w:sz w:val="20"/>
                <w:szCs w:val="20"/>
                <w:lang w:bidi="ar"/>
              </w:rPr>
            </w:pPr>
            <w:r>
              <w:rPr>
                <w:rFonts w:hint="eastAsia" w:ascii="宋体" w:hAnsi="宋体" w:cs="宋体"/>
                <w:color w:val="252525"/>
                <w:kern w:val="0"/>
                <w:sz w:val="20"/>
                <w:szCs w:val="20"/>
                <w:lang w:bidi="ar"/>
              </w:rPr>
              <w:t>13500</w:t>
            </w:r>
          </w:p>
        </w:tc>
      </w:tr>
      <w:tr>
        <w:tblPrEx>
          <w:tblCellMar>
            <w:top w:w="0" w:type="dxa"/>
            <w:left w:w="0" w:type="dxa"/>
            <w:bottom w:w="0" w:type="dxa"/>
            <w:right w:w="0" w:type="dxa"/>
          </w:tblCellMar>
        </w:tblPrEx>
        <w:trPr>
          <w:trHeight w:val="987" w:hRule="atLeast"/>
        </w:trPr>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蜡块柜</w:t>
            </w:r>
          </w:p>
        </w:tc>
        <w:tc>
          <w:tcPr>
            <w:tcW w:w="4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规格（mm）：W450×D478×H1295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组</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color w:val="252525"/>
                <w:sz w:val="20"/>
                <w:szCs w:val="20"/>
              </w:rPr>
            </w:pPr>
            <w:r>
              <w:rPr>
                <w:rFonts w:hint="eastAsia" w:ascii="宋体" w:hAnsi="宋体" w:cs="宋体"/>
                <w:color w:val="252525"/>
                <w:kern w:val="0"/>
                <w:sz w:val="20"/>
                <w:szCs w:val="20"/>
                <w:lang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FFC000"/>
            <w:tcMar>
              <w:top w:w="15" w:type="dxa"/>
              <w:left w:w="15" w:type="dxa"/>
              <w:right w:w="15" w:type="dxa"/>
            </w:tcMar>
            <w:vAlign w:val="center"/>
          </w:tcPr>
          <w:p>
            <w:pPr>
              <w:widowControl/>
              <w:jc w:val="center"/>
              <w:textAlignment w:val="center"/>
              <w:rPr>
                <w:rFonts w:ascii="宋体" w:hAnsi="宋体" w:cs="宋体"/>
                <w:color w:val="252525"/>
                <w:kern w:val="0"/>
                <w:sz w:val="20"/>
                <w:szCs w:val="20"/>
                <w:lang w:bidi="ar"/>
              </w:rPr>
            </w:pPr>
            <w:r>
              <w:rPr>
                <w:rFonts w:hint="eastAsia" w:ascii="宋体" w:hAnsi="宋体" w:cs="宋体"/>
                <w:color w:val="252525"/>
                <w:kern w:val="0"/>
                <w:sz w:val="20"/>
                <w:szCs w:val="20"/>
                <w:lang w:bidi="ar"/>
              </w:rPr>
              <w:t>12600</w:t>
            </w:r>
          </w:p>
        </w:tc>
      </w:tr>
    </w:tbl>
    <w:p>
      <w:pPr>
        <w:pStyle w:val="6"/>
      </w:pPr>
    </w:p>
    <w:p>
      <w:pPr>
        <w:pStyle w:val="4"/>
        <w:rPr>
          <w:rFonts w:cs="宋体"/>
        </w:rPr>
      </w:pPr>
      <w:r>
        <w:rPr>
          <w:rFonts w:hint="eastAsia" w:cs="宋体"/>
        </w:rPr>
        <w:t>3、主要设备参数</w:t>
      </w:r>
    </w:p>
    <w:p>
      <w:pPr>
        <w:pStyle w:val="4"/>
        <w:ind w:firstLine="241" w:firstLineChars="100"/>
        <w:rPr>
          <w:rFonts w:cs="宋体"/>
        </w:rPr>
      </w:pPr>
      <w:r>
        <w:rPr>
          <w:rFonts w:hint="eastAsia" w:cs="宋体"/>
        </w:rPr>
        <w:t>1）通风柜</w:t>
      </w:r>
    </w:p>
    <w:p>
      <w:pPr>
        <w:rPr>
          <w:rFonts w:ascii="宋体" w:hAnsi="宋体" w:cs="宋体"/>
        </w:rPr>
      </w:pPr>
      <w:r>
        <w:rPr>
          <w:rFonts w:hint="eastAsia" w:ascii="宋体" w:hAnsi="宋体" w:cs="宋体"/>
        </w:rPr>
        <w:t>设备规格：详见设备清单（允许误差±5%)，符合医院场地实际需求：</w:t>
      </w:r>
    </w:p>
    <w:p>
      <w:pPr>
        <w:rPr>
          <w:rFonts w:ascii="宋体" w:hAnsi="宋体" w:cs="宋体"/>
        </w:rPr>
      </w:pPr>
      <w:r>
        <w:rPr>
          <w:rFonts w:hint="eastAsia" w:ascii="宋体" w:hAnsi="宋体" w:cs="宋体"/>
        </w:rPr>
        <w:t>1.1采用欧式的设计风格，窄边设计，增加通风柜内有效的操作空间 ，1.2米通风柜内部操作空间宽度≥1.1米，1.5米通风柜内部操作空间宽度≥1.4米，1.8米通风柜内部操作空间宽度≥1.7米。</w:t>
      </w:r>
    </w:p>
    <w:p>
      <w:pPr>
        <w:rPr>
          <w:rFonts w:ascii="宋体" w:hAnsi="宋体" w:cs="宋体"/>
        </w:rPr>
      </w:pPr>
      <w:r>
        <w:rPr>
          <w:rFonts w:hint="eastAsia" w:ascii="宋体" w:hAnsi="宋体" w:cs="宋体"/>
        </w:rPr>
        <w:t>1.2主体采用全钢结构（1.2mm钢板表面经除油，酸洗，磷化高压喷淋工艺处理）。主前框立柱采用2.5mm厚一体成型6063铝合金框架，表面经酸洗磷化高压喷淋工艺处理，烘干后使用环氧树脂粉末静电喷涂，经220°高温固化，涂层厚度 ≥75μm，满足实验室家具硬度、耐腐蚀、附着力的技术要求。表面光滑均匀、色泽一致，无流挂、皱皮、鼓泡、凹陷、压痕</w:t>
      </w:r>
    </w:p>
    <w:p>
      <w:pPr>
        <w:rPr>
          <w:rFonts w:ascii="宋体" w:hAnsi="宋体" w:cs="宋体"/>
        </w:rPr>
      </w:pPr>
      <w:r>
        <w:rPr>
          <w:rFonts w:hint="eastAsia" w:ascii="宋体" w:hAnsi="宋体" w:cs="宋体"/>
        </w:rPr>
        <w:t>1.3导流板采用5mm厚白色抗倍特内衬。</w:t>
      </w:r>
    </w:p>
    <w:p>
      <w:r>
        <w:rPr>
          <w:rFonts w:hint="eastAsia" w:ascii="宋体" w:hAnsi="宋体" w:cs="宋体"/>
        </w:rPr>
        <w:t>1.4为保证产品质量，产品需要提供以下检测结果：</w:t>
      </w:r>
    </w:p>
    <w:p>
      <w:pPr>
        <w:ind w:firstLine="630" w:firstLineChars="300"/>
        <w:rPr>
          <w:rFonts w:ascii="宋体" w:hAnsi="宋体" w:cs="宋体"/>
        </w:rPr>
      </w:pPr>
      <w:r>
        <w:rPr>
          <w:rFonts w:hint="eastAsia" w:ascii="宋体" w:hAnsi="宋体" w:cs="宋体"/>
        </w:rPr>
        <w:t xml:space="preserve">1）“视窗限位”结果：装有一个机械限位装置，放置视窗开启超过视窗上标记的 最大操作位置 500mm。视窗开启位置回到 500mm 以下时，限位装置自动复位。提供第三方检测报告复印件。 </w:t>
      </w:r>
    </w:p>
    <w:p>
      <w:pPr>
        <w:ind w:firstLine="630" w:firstLineChars="300"/>
        <w:rPr>
          <w:rFonts w:ascii="宋体" w:hAnsi="宋体" w:cs="宋体"/>
        </w:rPr>
      </w:pPr>
      <w:r>
        <w:rPr>
          <w:rFonts w:hint="eastAsia" w:ascii="宋体" w:hAnsi="宋体" w:cs="宋体"/>
        </w:rPr>
        <w:t xml:space="preserve">2）“拉门悬停试验”结果：断开拉门的一侧悬挂装置。拉门应保持在其初始位置附近 其测量数值不应＞22mm。提供第三方检测报告复印件。 </w:t>
      </w:r>
    </w:p>
    <w:p>
      <w:pPr>
        <w:ind w:firstLine="630" w:firstLineChars="300"/>
        <w:rPr>
          <w:rFonts w:ascii="宋体" w:hAnsi="宋体" w:cs="宋体"/>
        </w:rPr>
      </w:pPr>
      <w:r>
        <w:rPr>
          <w:rFonts w:hint="eastAsia" w:ascii="宋体" w:hAnsi="宋体" w:cs="宋体"/>
        </w:rPr>
        <w:t xml:space="preserve">3）“拉门移动影响测试”视窗移动效果测试其泄露浓度不大于 0.01PPM,提供第三方检测报告复印件。 </w:t>
      </w:r>
    </w:p>
    <w:p>
      <w:pPr>
        <w:ind w:firstLine="630" w:firstLineChars="300"/>
        <w:rPr>
          <w:rFonts w:ascii="宋体" w:hAnsi="宋体" w:cs="宋体"/>
        </w:rPr>
      </w:pPr>
      <w:r>
        <w:rPr>
          <w:rFonts w:hint="eastAsia" w:ascii="宋体" w:hAnsi="宋体" w:cs="宋体"/>
        </w:rPr>
        <w:t xml:space="preserve">4）“照度试验”结果：照度应在工作表面上平均每平方米至少测量 8 个点，均匀分布，测试平均值和均匀度，照度平均值应＞600LX，均匀度应≥90%。提供第三方检测报告复印件。 </w:t>
      </w:r>
    </w:p>
    <w:p>
      <w:pPr>
        <w:ind w:firstLine="630" w:firstLineChars="300"/>
        <w:rPr>
          <w:rFonts w:ascii="宋体" w:hAnsi="宋体" w:cs="宋体"/>
        </w:rPr>
      </w:pPr>
      <w:r>
        <w:rPr>
          <w:rFonts w:hint="eastAsia" w:ascii="宋体" w:hAnsi="宋体" w:cs="宋体"/>
        </w:rPr>
        <w:t>5）</w:t>
      </w:r>
      <w:r>
        <w:rPr>
          <w:rFonts w:hint="eastAsia" w:ascii="宋体" w:hAnsi="宋体" w:cs="宋体"/>
          <w:sz w:val="24"/>
          <w:szCs w:val="20"/>
        </w:rPr>
        <w:t>□</w:t>
      </w:r>
      <w:r>
        <w:rPr>
          <w:rFonts w:hint="eastAsia" w:ascii="宋体" w:hAnsi="宋体" w:cs="宋体"/>
        </w:rPr>
        <w:t xml:space="preserve">“阻力试验”结果：通风柜达到额定的面风速 0.5m/s 时，其整理压力损失应低于 70pa。提供第三方检测报告复印件。 </w:t>
      </w:r>
    </w:p>
    <w:p>
      <w:pPr>
        <w:ind w:firstLine="630" w:firstLineChars="300"/>
        <w:rPr>
          <w:rFonts w:ascii="宋体" w:hAnsi="宋体" w:cs="宋体"/>
        </w:rPr>
      </w:pPr>
      <w:r>
        <w:rPr>
          <w:rFonts w:hint="eastAsia" w:ascii="宋体" w:hAnsi="宋体" w:cs="宋体"/>
        </w:rPr>
        <w:t xml:space="preserve">6）“防喷溅试验”结果：将自动喷水装置摆放在排风柜内部操作台面上，开启喷水装置，飞溅在拉门内表面上的液体从表面滴下，流至排风柜上，没有溢出。提供第三方检测报告复印件。 </w:t>
      </w:r>
    </w:p>
    <w:p>
      <w:pPr>
        <w:ind w:firstLine="630" w:firstLineChars="300"/>
        <w:rPr>
          <w:rFonts w:ascii="宋体" w:hAnsi="宋体" w:cs="宋体"/>
        </w:rPr>
      </w:pPr>
      <w:r>
        <w:rPr>
          <w:rFonts w:hint="eastAsia" w:ascii="宋体" w:hAnsi="宋体" w:cs="宋体"/>
        </w:rPr>
        <w:t>7）</w:t>
      </w:r>
      <w:r>
        <w:rPr>
          <w:rFonts w:hint="eastAsia" w:ascii="宋体" w:hAnsi="宋体" w:cs="宋体"/>
          <w:sz w:val="24"/>
          <w:szCs w:val="20"/>
        </w:rPr>
        <w:t>□</w:t>
      </w:r>
      <w:r>
        <w:rPr>
          <w:rFonts w:hint="eastAsia" w:ascii="宋体" w:hAnsi="宋体" w:cs="宋体"/>
        </w:rPr>
        <w:t xml:space="preserve">“浓度测试（内测法）”结果中，视窗开口 500mm 时，SF₆ 平均浓度均不超过 0.02ppm。提供第三方检测报告复印件。 </w:t>
      </w:r>
    </w:p>
    <w:p>
      <w:pPr>
        <w:ind w:firstLine="630" w:firstLineChars="300"/>
        <w:rPr>
          <w:rFonts w:ascii="宋体" w:hAnsi="宋体" w:cs="宋体"/>
        </w:rPr>
      </w:pPr>
      <w:r>
        <w:rPr>
          <w:rFonts w:hint="eastAsia" w:ascii="宋体" w:hAnsi="宋体" w:cs="宋体"/>
        </w:rPr>
        <w:t>8）</w:t>
      </w:r>
      <w:r>
        <w:rPr>
          <w:rFonts w:hint="eastAsia" w:ascii="宋体" w:hAnsi="宋体" w:cs="宋体"/>
          <w:sz w:val="24"/>
          <w:szCs w:val="20"/>
        </w:rPr>
        <w:t>□</w:t>
      </w:r>
      <w:r>
        <w:rPr>
          <w:rFonts w:hint="eastAsia" w:ascii="宋体" w:hAnsi="宋体" w:cs="宋体"/>
        </w:rPr>
        <w:t xml:space="preserve">“浓度测试（外测法）”结果中，视窗，SF₆ 平均浓度均不超过 0.01ppm。提供第三方检测报告复印件。 </w:t>
      </w:r>
    </w:p>
    <w:p>
      <w:pPr>
        <w:ind w:firstLine="630" w:firstLineChars="300"/>
        <w:rPr>
          <w:rFonts w:ascii="宋体" w:hAnsi="宋体" w:cs="宋体"/>
        </w:rPr>
      </w:pPr>
      <w:r>
        <w:rPr>
          <w:rFonts w:hint="eastAsia" w:ascii="宋体" w:hAnsi="宋体" w:cs="宋体"/>
        </w:rPr>
        <w:t>9）</w:t>
      </w:r>
      <w:r>
        <w:rPr>
          <w:rFonts w:hint="eastAsia" w:ascii="宋体" w:hAnsi="宋体" w:cs="宋体"/>
          <w:sz w:val="24"/>
          <w:szCs w:val="20"/>
        </w:rPr>
        <w:t>□</w:t>
      </w:r>
      <w:r>
        <w:rPr>
          <w:rFonts w:hint="eastAsia" w:ascii="宋体" w:hAnsi="宋体" w:cs="宋体"/>
        </w:rPr>
        <w:t xml:space="preserve">平衡系统使用同步带传动结构，采用高强度钢丝芯聚氨酯同步带，具有低噪音高性能和足够的承重能力，拉伸强度 N/mm≥160，齿体剪切强度 N/mm≥50,提供第三方检测报告复印件。 </w:t>
      </w:r>
    </w:p>
    <w:p>
      <w:pPr>
        <w:pStyle w:val="4"/>
        <w:rPr>
          <w:rFonts w:cs="宋体"/>
        </w:rPr>
      </w:pPr>
    </w:p>
    <w:p>
      <w:pPr>
        <w:ind w:firstLine="211" w:firstLineChars="100"/>
        <w:rPr>
          <w:rFonts w:ascii="宋体" w:hAnsi="宋体" w:cs="宋体"/>
          <w:b/>
          <w:bCs/>
          <w:kern w:val="0"/>
          <w:szCs w:val="24"/>
        </w:rPr>
      </w:pPr>
      <w:r>
        <w:rPr>
          <w:rFonts w:hint="eastAsia" w:ascii="宋体" w:hAnsi="宋体" w:cs="宋体"/>
          <w:b/>
          <w:bCs/>
          <w:kern w:val="0"/>
          <w:szCs w:val="24"/>
        </w:rPr>
        <w:t>2）脱水通风柜</w:t>
      </w:r>
    </w:p>
    <w:p>
      <w:pPr>
        <w:widowControl/>
        <w:jc w:val="left"/>
      </w:pPr>
      <w:r>
        <w:rPr>
          <w:rFonts w:hint="eastAsia" w:ascii="宋体" w:hAnsi="宋体" w:cs="宋体"/>
          <w:szCs w:val="24"/>
        </w:rPr>
        <w:t>设备规格：详见设备清单（允许误差±5%)，符合医院场地实际需求：</w:t>
      </w:r>
    </w:p>
    <w:p>
      <w:pPr>
        <w:numPr>
          <w:ilvl w:val="0"/>
          <w:numId w:val="1"/>
        </w:numPr>
        <w:ind w:firstLine="480"/>
        <w:rPr>
          <w:rFonts w:ascii="宋体" w:hAnsi="宋体" w:cs="宋体"/>
          <w:szCs w:val="24"/>
        </w:rPr>
      </w:pPr>
      <w:r>
        <w:rPr>
          <w:rFonts w:hint="eastAsia" w:ascii="宋体" w:hAnsi="宋体" w:cs="宋体"/>
          <w:szCs w:val="24"/>
        </w:rPr>
        <w:t>柜体：全钢结构。采用厚度为1.0mm以上优质冷轧钢板，经过酸洗磷化、静电环氧树脂喷塑处理。</w:t>
      </w:r>
    </w:p>
    <w:p>
      <w:pPr>
        <w:numPr>
          <w:ilvl w:val="0"/>
          <w:numId w:val="1"/>
        </w:numPr>
        <w:ind w:firstLine="480"/>
        <w:rPr>
          <w:rFonts w:ascii="宋体" w:hAnsi="宋体" w:cs="宋体"/>
          <w:szCs w:val="24"/>
        </w:rPr>
      </w:pPr>
      <w:r>
        <w:rPr>
          <w:rFonts w:hint="eastAsia" w:ascii="宋体" w:hAnsi="宋体" w:cs="宋体"/>
          <w:szCs w:val="24"/>
        </w:rPr>
        <w:t>视窗：采用厚≥5mm强化玻璃。带PVC滑槽，无噪音，无级变速平衡砝码设计，视窗高度可停在任意位置。</w:t>
      </w:r>
    </w:p>
    <w:p>
      <w:pPr>
        <w:numPr>
          <w:ilvl w:val="0"/>
          <w:numId w:val="1"/>
        </w:numPr>
        <w:ind w:firstLine="480"/>
        <w:rPr>
          <w:rFonts w:ascii="宋体" w:hAnsi="宋体" w:cs="宋体"/>
          <w:szCs w:val="24"/>
        </w:rPr>
      </w:pPr>
      <w:r>
        <w:rPr>
          <w:rFonts w:hint="eastAsia" w:ascii="宋体" w:hAnsi="宋体" w:cs="宋体"/>
          <w:szCs w:val="24"/>
        </w:rPr>
        <w:t>柜门：采用外向双门对开式或者左右推拉式，便于大型落地实验设备的进出安装及使用。</w:t>
      </w:r>
    </w:p>
    <w:p>
      <w:pPr>
        <w:numPr>
          <w:ilvl w:val="0"/>
          <w:numId w:val="1"/>
        </w:numPr>
        <w:ind w:firstLine="480"/>
        <w:rPr>
          <w:rFonts w:ascii="宋体" w:hAnsi="宋体" w:cs="宋体"/>
          <w:szCs w:val="24"/>
        </w:rPr>
      </w:pPr>
      <w:r>
        <w:rPr>
          <w:rFonts w:hint="eastAsia" w:ascii="宋体" w:hAnsi="宋体" w:cs="宋体"/>
          <w:szCs w:val="24"/>
        </w:rPr>
        <w:t>附件：照明为防爆日光灯组，具护罩密闭式，操作开关控制显示面板，配备专用防水电源插座。</w:t>
      </w:r>
    </w:p>
    <w:p>
      <w:pPr>
        <w:pStyle w:val="4"/>
        <w:rPr>
          <w:rFonts w:cs="宋体"/>
        </w:rPr>
      </w:pPr>
    </w:p>
    <w:p>
      <w:pPr>
        <w:pStyle w:val="4"/>
        <w:ind w:firstLine="241" w:firstLineChars="100"/>
        <w:rPr>
          <w:rFonts w:cs="宋体"/>
        </w:rPr>
      </w:pPr>
      <w:r>
        <w:rPr>
          <w:rFonts w:hint="eastAsia" w:cs="宋体"/>
        </w:rPr>
        <w:t>3）实验边台</w:t>
      </w:r>
    </w:p>
    <w:p>
      <w:pPr>
        <w:pStyle w:val="30"/>
        <w:numPr>
          <w:ilvl w:val="0"/>
          <w:numId w:val="2"/>
        </w:numPr>
        <w:ind w:firstLine="480"/>
        <w:rPr>
          <w:rFonts w:cs="宋体"/>
          <w:sz w:val="24"/>
          <w:szCs w:val="20"/>
        </w:rPr>
      </w:pPr>
      <w:r>
        <w:rPr>
          <w:rFonts w:hint="eastAsia" w:cs="宋体"/>
          <w:sz w:val="24"/>
          <w:szCs w:val="20"/>
        </w:rPr>
        <w:t>材料要求</w:t>
      </w:r>
    </w:p>
    <w:p>
      <w:pPr>
        <w:pStyle w:val="30"/>
        <w:ind w:firstLine="480"/>
        <w:rPr>
          <w:rFonts w:cs="宋体"/>
          <w:sz w:val="24"/>
          <w:szCs w:val="20"/>
        </w:rPr>
      </w:pPr>
      <w:r>
        <w:rPr>
          <w:rFonts w:hint="eastAsia" w:cs="宋体"/>
          <w:sz w:val="24"/>
          <w:szCs w:val="20"/>
        </w:rPr>
        <w:t>柜体：使用全钢柜体，钢制柜体加工材料为符合相应标准的优质低碳冷轧钢板。柜体钢材基本厚度应达到或优于以下标准：1.2mm：柜体主结构，抽屉，外门板，底柜活动层板，试剂架，水电管道功能立柱，水平布线管线槽，装饰封板；调整脚支撑板。</w:t>
      </w:r>
    </w:p>
    <w:p>
      <w:pPr>
        <w:pStyle w:val="30"/>
        <w:numPr>
          <w:ilvl w:val="0"/>
          <w:numId w:val="2"/>
        </w:numPr>
        <w:ind w:firstLine="480"/>
        <w:rPr>
          <w:rFonts w:cs="宋体"/>
          <w:sz w:val="24"/>
          <w:szCs w:val="20"/>
        </w:rPr>
      </w:pPr>
      <w:r>
        <w:rPr>
          <w:rFonts w:hint="eastAsia" w:cs="宋体"/>
          <w:sz w:val="24"/>
          <w:szCs w:val="20"/>
        </w:rPr>
        <w:t>底柜五金及配件：</w:t>
      </w:r>
    </w:p>
    <w:p>
      <w:pPr>
        <w:pStyle w:val="30"/>
        <w:ind w:firstLine="480"/>
        <w:rPr>
          <w:rFonts w:cs="宋体"/>
          <w:sz w:val="24"/>
          <w:szCs w:val="20"/>
        </w:rPr>
      </w:pPr>
      <w:r>
        <w:rPr>
          <w:rFonts w:hint="eastAsia" w:cs="宋体"/>
          <w:sz w:val="24"/>
          <w:szCs w:val="20"/>
        </w:rPr>
        <w:t>合页铰链：采用门板承重要求厚2.0mm及以上的304不锈钢材质180°及以上合页铰链； 柜门可以全部打开，外型美观，使用过程中无噪音，耐腐蚀，使用寿命长。</w:t>
      </w:r>
    </w:p>
    <w:p>
      <w:pPr>
        <w:pStyle w:val="30"/>
        <w:ind w:firstLine="480"/>
        <w:rPr>
          <w:rFonts w:cs="宋体"/>
          <w:sz w:val="24"/>
          <w:szCs w:val="20"/>
        </w:rPr>
      </w:pPr>
      <w:r>
        <w:rPr>
          <w:rFonts w:hint="eastAsia" w:cs="宋体"/>
          <w:sz w:val="24"/>
          <w:szCs w:val="20"/>
        </w:rPr>
        <w:t>抽屉导轨：采用三节承重导轨；</w:t>
      </w:r>
    </w:p>
    <w:p>
      <w:pPr>
        <w:pStyle w:val="30"/>
        <w:ind w:firstLine="480"/>
        <w:rPr>
          <w:rFonts w:cs="宋体"/>
          <w:sz w:val="24"/>
          <w:szCs w:val="20"/>
        </w:rPr>
      </w:pPr>
      <w:r>
        <w:rPr>
          <w:rFonts w:hint="eastAsia" w:cs="宋体"/>
          <w:sz w:val="24"/>
          <w:szCs w:val="20"/>
        </w:rPr>
        <w:t>把手：一次成型嵌入式铝合金把手或者不锈钢C型拉手；</w:t>
      </w:r>
    </w:p>
    <w:p>
      <w:pPr>
        <w:pStyle w:val="30"/>
        <w:ind w:firstLine="480"/>
        <w:rPr>
          <w:rFonts w:cs="宋体"/>
          <w:sz w:val="24"/>
          <w:szCs w:val="20"/>
        </w:rPr>
      </w:pPr>
      <w:r>
        <w:rPr>
          <w:rFonts w:hint="eastAsia" w:cs="宋体"/>
          <w:sz w:val="24"/>
          <w:szCs w:val="20"/>
        </w:rPr>
        <w:t>门板缓冲垫：采用橡胶材质；</w:t>
      </w:r>
    </w:p>
    <w:p>
      <w:pPr>
        <w:pStyle w:val="30"/>
        <w:ind w:firstLine="480"/>
        <w:rPr>
          <w:rFonts w:cs="宋体"/>
          <w:sz w:val="24"/>
          <w:szCs w:val="20"/>
        </w:rPr>
      </w:pPr>
      <w:r>
        <w:rPr>
          <w:rFonts w:hint="eastAsia" w:cs="宋体"/>
          <w:sz w:val="24"/>
          <w:szCs w:val="20"/>
        </w:rPr>
        <w:t>门扣组：采用304不锈钢材质的伸缩滚轮止动门扣组；</w:t>
      </w:r>
    </w:p>
    <w:p>
      <w:pPr>
        <w:pStyle w:val="30"/>
        <w:ind w:firstLine="480"/>
        <w:rPr>
          <w:rFonts w:cs="宋体"/>
          <w:sz w:val="24"/>
          <w:szCs w:val="20"/>
        </w:rPr>
      </w:pPr>
      <w:r>
        <w:rPr>
          <w:rFonts w:hint="eastAsia" w:cs="宋体"/>
          <w:sz w:val="24"/>
          <w:szCs w:val="20"/>
        </w:rPr>
        <w:t>层板支撑扣：采用厚1.2mm及以上的304不锈钢板；</w:t>
      </w:r>
    </w:p>
    <w:p>
      <w:pPr>
        <w:pStyle w:val="30"/>
        <w:ind w:firstLine="480"/>
        <w:rPr>
          <w:rFonts w:cs="宋体"/>
          <w:sz w:val="24"/>
          <w:szCs w:val="20"/>
        </w:rPr>
      </w:pPr>
      <w:r>
        <w:rPr>
          <w:rFonts w:hint="eastAsia" w:cs="宋体"/>
          <w:sz w:val="24"/>
          <w:szCs w:val="20"/>
        </w:rPr>
        <w:t>调整脚：采用高强度ABS或改性硬聚氯乙烯，可调高度大于20mm，保证整个柜体水平良好；加工工艺优良，确保产品质量良好</w:t>
      </w:r>
    </w:p>
    <w:p>
      <w:pPr>
        <w:pStyle w:val="30"/>
        <w:numPr>
          <w:ilvl w:val="0"/>
          <w:numId w:val="2"/>
        </w:numPr>
        <w:ind w:firstLine="480"/>
        <w:rPr>
          <w:rFonts w:cs="宋体"/>
          <w:sz w:val="24"/>
          <w:szCs w:val="20"/>
        </w:rPr>
      </w:pPr>
      <w:r>
        <w:rPr>
          <w:rFonts w:hint="eastAsia" w:cs="宋体"/>
          <w:sz w:val="24"/>
          <w:szCs w:val="20"/>
        </w:rPr>
        <w:t>台面：</w:t>
      </w:r>
    </w:p>
    <w:p>
      <w:pPr>
        <w:widowControl/>
        <w:ind w:firstLine="480" w:firstLineChars="200"/>
        <w:jc w:val="left"/>
        <w:rPr>
          <w:rFonts w:ascii="宋体" w:hAnsi="宋体" w:cs="宋体"/>
          <w:sz w:val="24"/>
          <w:szCs w:val="20"/>
        </w:rPr>
      </w:pPr>
      <w:r>
        <w:rPr>
          <w:rFonts w:hint="eastAsia" w:ascii="宋体" w:hAnsi="宋体" w:cs="宋体"/>
          <w:sz w:val="24"/>
          <w:szCs w:val="20"/>
        </w:rPr>
        <w:t>采用≥20mm 厚单边凹槽阻水陶瓷台面（一体釉面非后期破坏釉面开槽）。水槽台采用25mm厚碟型陶瓷台面，带有防滑、沥水沟槽工艺（一体釉面非后期破坏釉面开槽）。陶瓷台面经高温长时间煅烧而成，具备良好的耐磨、耐腐蚀、耐高温、耐污染性能。水槽台碟型陶瓷台面配备尺寸不小于570*460*320mm的陶瓷水槽，配备的陶瓷水槽（带防伪标志）和台面品牌一致。陶瓷台面经高温长时间煅烧而成，釉面和坯体结合后不脱落、不脱层，耐磨、耐强腐蚀。黑色坯体可避免台面侧面因二次低温上釉脱落现象的发生。台面不接受后期二次加厚边方式。投标单位需提供满足以下性能要求证明文件，其检测报告复印件和相关证明需含有品牌厂家的红色鲜章，并标注专用于本项目投标使用字样，同时出具台面品牌针对该工程项目的产品质保承诺书。</w:t>
      </w:r>
    </w:p>
    <w:p>
      <w:pPr>
        <w:ind w:firstLine="480" w:firstLineChars="200"/>
        <w:rPr>
          <w:rFonts w:ascii="宋体" w:hAnsi="宋体" w:cs="宋体"/>
          <w:sz w:val="24"/>
          <w:szCs w:val="20"/>
        </w:rPr>
      </w:pPr>
      <w:r>
        <w:rPr>
          <w:rFonts w:hint="eastAsia" w:ascii="宋体" w:hAnsi="宋体" w:cs="宋体"/>
          <w:sz w:val="24"/>
          <w:szCs w:val="20"/>
        </w:rPr>
        <w:t>1、工艺要求：釉面与坯体之间无断裂、无脱层、无釉面碎屑，釉面与坯体呈一体结构；凹槽表面釉面与操作面釉面一致，为未被破坏的一体烧制釉面；凹槽宽度≥11.8mm；深度≥1.2mm；储水量≥16ml。提供由SGS出具的样品为“单边凹槽阻水台面”的检测报告。</w:t>
      </w:r>
    </w:p>
    <w:p>
      <w:pPr>
        <w:pStyle w:val="6"/>
        <w:ind w:firstLine="480" w:firstLineChars="200"/>
        <w:rPr>
          <w:rFonts w:ascii="宋体" w:hAnsi="宋体" w:cs="宋体"/>
          <w:sz w:val="24"/>
          <w:szCs w:val="20"/>
        </w:rPr>
      </w:pPr>
      <w:r>
        <w:rPr>
          <w:rFonts w:hint="eastAsia" w:ascii="宋体" w:hAnsi="宋体" w:cs="宋体"/>
          <w:sz w:val="24"/>
          <w:szCs w:val="20"/>
        </w:rPr>
        <w:t>2、□耐腐蚀性：须提供参照GB/T17657-2022检测标准，报告中包含有：硫酸98%、、硝酸65%、氢氧化钙饱和溶液、 醋酸丁酯99% 、 重铬酸钾洗液、 氯化钙溶液10% 、 二氧六环99% 、甲酚红85% 、王水 、乙醇99% 、红药水、硝酸银溶液1%、氢氧化钾溶液65% 、硼氢化钠饱和溶液、氯化钾饱和溶液、双氧水3%、苯酚10%、二甲苯99%、碳酸氢钠饱和溶液、高氯酸72%、二甲基甲酰胺99%、亚硝酸钠饱和溶液、三氯乙烯98%、过氧化氢30%等不少于62种化学试剂的测试，检测结果为无明显变化。提供由CNAS或CMA认证的检测机构出具的检测报告。</w:t>
      </w:r>
    </w:p>
    <w:p>
      <w:pPr>
        <w:ind w:firstLine="480" w:firstLineChars="200"/>
        <w:rPr>
          <w:rFonts w:ascii="宋体" w:hAnsi="宋体" w:cs="宋体"/>
          <w:sz w:val="24"/>
          <w:szCs w:val="20"/>
        </w:rPr>
      </w:pPr>
      <w:r>
        <w:rPr>
          <w:rFonts w:hint="eastAsia" w:ascii="宋体" w:hAnsi="宋体" w:cs="宋体"/>
          <w:sz w:val="24"/>
          <w:szCs w:val="20"/>
        </w:rPr>
        <w:t>3、水槽台台面采用≥25mm厚一体釉面烧制工艺的防滑沥水槽碟型陶瓷台面，参照T/CIQA10-2020附录F检测标准，对防滑和沥水的性能进行检测，检测结果为：合格。提供由CNAS或CMA认证的检测机构出具的检测报告。</w:t>
      </w:r>
    </w:p>
    <w:p>
      <w:pPr>
        <w:ind w:firstLine="480" w:firstLineChars="200"/>
        <w:rPr>
          <w:rFonts w:ascii="宋体" w:hAnsi="宋体" w:cs="宋体"/>
          <w:sz w:val="24"/>
          <w:szCs w:val="20"/>
        </w:rPr>
      </w:pPr>
      <w:r>
        <w:rPr>
          <w:rFonts w:hint="eastAsia" w:ascii="宋体" w:hAnsi="宋体" w:cs="宋体"/>
          <w:sz w:val="24"/>
          <w:szCs w:val="20"/>
        </w:rPr>
        <w:t>4、耐光色牢度：依据GB/T17657-2022标准进行12小时测试，检测结果符合标准要求（变色等级不低于4-5级）。提供通过CMA或CNAS认证的检测机构出具的检测报告。</w:t>
      </w:r>
    </w:p>
    <w:p>
      <w:pPr>
        <w:pStyle w:val="6"/>
        <w:ind w:firstLine="480" w:firstLineChars="200"/>
        <w:rPr>
          <w:rFonts w:ascii="宋体" w:hAnsi="宋体" w:cs="宋体"/>
          <w:sz w:val="24"/>
          <w:szCs w:val="20"/>
        </w:rPr>
      </w:pPr>
      <w:r>
        <w:rPr>
          <w:rFonts w:hint="eastAsia" w:ascii="宋体" w:hAnsi="宋体" w:cs="宋体"/>
          <w:sz w:val="24"/>
          <w:szCs w:val="20"/>
        </w:rPr>
        <w:t>5、光泽度：参照GB/T 13891检测标准，检测结果≥22;提供通过CMA或CNAS认证的检测机构出具的检测报告。</w:t>
      </w:r>
    </w:p>
    <w:p>
      <w:pPr>
        <w:rPr>
          <w:rFonts w:ascii="宋体" w:hAnsi="宋体" w:cs="宋体"/>
          <w:sz w:val="24"/>
          <w:szCs w:val="20"/>
        </w:rPr>
      </w:pPr>
      <w:r>
        <w:rPr>
          <w:rFonts w:hint="eastAsia" w:ascii="宋体" w:hAnsi="宋体" w:cs="宋体"/>
          <w:sz w:val="24"/>
          <w:szCs w:val="20"/>
        </w:rPr>
        <w:t>6、抗冻性：参照T/CIQA 10-2020标准，检测结果为：无裂纹及剥落。提供通过CMA或CNAS认证的检测机构出具的检测报告。</w:t>
      </w:r>
    </w:p>
    <w:p>
      <w:pPr>
        <w:pStyle w:val="6"/>
        <w:ind w:firstLine="480" w:firstLineChars="200"/>
        <w:rPr>
          <w:rFonts w:ascii="宋体" w:hAnsi="宋体" w:cs="宋体"/>
          <w:sz w:val="24"/>
          <w:szCs w:val="20"/>
        </w:rPr>
      </w:pPr>
      <w:r>
        <w:rPr>
          <w:rFonts w:hint="eastAsia" w:ascii="宋体" w:hAnsi="宋体" w:cs="宋体"/>
          <w:sz w:val="24"/>
          <w:szCs w:val="20"/>
        </w:rPr>
        <w:t>7、SVHC高关注物检测：对不少于240种高关注物进行筛分检测，SVHC检测结果为：≤0.1%(w/w)。提供SGS检测机构出具的检测报告。</w:t>
      </w:r>
    </w:p>
    <w:p>
      <w:pPr>
        <w:ind w:firstLine="480" w:firstLineChars="200"/>
        <w:rPr>
          <w:rFonts w:ascii="宋体" w:hAnsi="宋体" w:cs="宋体"/>
          <w:sz w:val="24"/>
          <w:szCs w:val="20"/>
        </w:rPr>
      </w:pPr>
      <w:r>
        <w:rPr>
          <w:rFonts w:hint="eastAsia" w:ascii="宋体" w:hAnsi="宋体" w:cs="宋体"/>
          <w:sz w:val="24"/>
          <w:szCs w:val="20"/>
        </w:rPr>
        <w:t>8、陶瓷水槽化学性能要求：依据GB/T 17657标准，检测报告至少包含有：高氯酸（90%）、盐酸（37%）、硝酸（65%）、氢氧化钠（40%）、硫酸（98%）等化学试剂，检测报告结果为无明显变化。提供通过CMA或CNAS认证的检测机构出具的检测报告。</w:t>
      </w:r>
    </w:p>
    <w:p>
      <w:pPr>
        <w:ind w:firstLine="480" w:firstLineChars="200"/>
        <w:rPr>
          <w:rFonts w:ascii="宋体" w:hAnsi="宋体" w:cs="宋体"/>
          <w:sz w:val="24"/>
          <w:szCs w:val="20"/>
        </w:rPr>
      </w:pPr>
      <w:r>
        <w:rPr>
          <w:rFonts w:hint="eastAsia" w:ascii="宋体" w:hAnsi="宋体" w:cs="宋体"/>
          <w:sz w:val="24"/>
          <w:szCs w:val="20"/>
        </w:rPr>
        <w:t>9、陶瓷水槽抗裂性：依据GB/T 6952-2015标准，检测结果为无釉裂、无坯裂。提供通过CMA或CNAS认证的检测机构出具的检测报告。</w:t>
      </w:r>
    </w:p>
    <w:p>
      <w:pPr>
        <w:ind w:firstLine="480" w:firstLineChars="200"/>
        <w:rPr>
          <w:rFonts w:ascii="宋体" w:hAnsi="宋体" w:cs="宋体"/>
          <w:sz w:val="24"/>
          <w:szCs w:val="20"/>
        </w:rPr>
      </w:pPr>
      <w:r>
        <w:rPr>
          <w:rFonts w:hint="eastAsia" w:ascii="宋体" w:hAnsi="宋体" w:cs="宋体"/>
          <w:sz w:val="24"/>
          <w:szCs w:val="20"/>
        </w:rPr>
        <w:t>10、□陶瓷水槽安全性能：为防止陶瓷水槽内因水位过高或下水口堵塞等原因导致水或其他液体漏出，陶瓷水槽侧面应设有溢水孔，溢水孔自动排出多余的水，以避免水漏出对操作人员带来伤害或不必要的麻烦。溢流功能检测参照GB/T 6952-2015 标准，检测结果符合标准要求，并提供通过CMA或CNAS认证的检测机构出具的检测报告。</w:t>
      </w:r>
    </w:p>
    <w:p>
      <w:pPr>
        <w:ind w:firstLine="480" w:firstLineChars="200"/>
        <w:rPr>
          <w:rFonts w:ascii="宋体" w:hAnsi="宋体" w:cs="宋体"/>
          <w:sz w:val="24"/>
          <w:szCs w:val="20"/>
        </w:rPr>
      </w:pPr>
      <w:r>
        <w:rPr>
          <w:rFonts w:hint="eastAsia" w:ascii="宋体" w:hAnsi="宋体" w:cs="宋体"/>
          <w:sz w:val="24"/>
          <w:szCs w:val="20"/>
        </w:rPr>
        <w:t>11、为保证产品质量，生产厂家须通过ISO9001质量管理体系认证，认证范围须包含实验室陶瓷台面、陶瓷纤维内衬板、氟纤内衬板、陶瓷杯槽。提供相应证明材料。</w:t>
      </w:r>
    </w:p>
    <w:p>
      <w:pPr>
        <w:pStyle w:val="6"/>
        <w:spacing w:line="360" w:lineRule="auto"/>
        <w:ind w:firstLine="480" w:firstLineChars="200"/>
        <w:rPr>
          <w:rFonts w:ascii="宋体" w:hAnsi="宋体" w:cs="宋体"/>
          <w:sz w:val="24"/>
          <w:szCs w:val="20"/>
        </w:rPr>
      </w:pPr>
      <w:r>
        <w:rPr>
          <w:rFonts w:hint="eastAsia" w:ascii="宋体" w:hAnsi="宋体" w:cs="宋体"/>
          <w:sz w:val="24"/>
          <w:szCs w:val="20"/>
        </w:rPr>
        <w:t>12、为保证产品质量，生产厂家须经过SGS机构的ICmack质量认证，提供相应证明材料。</w:t>
      </w:r>
    </w:p>
    <w:p>
      <w:pPr>
        <w:pStyle w:val="6"/>
        <w:spacing w:line="360" w:lineRule="auto"/>
        <w:ind w:firstLine="480" w:firstLineChars="200"/>
        <w:rPr>
          <w:rFonts w:ascii="宋体" w:hAnsi="宋体" w:cs="宋体"/>
          <w:sz w:val="24"/>
          <w:szCs w:val="20"/>
        </w:rPr>
      </w:pPr>
      <w:r>
        <w:rPr>
          <w:rFonts w:hint="eastAsia" w:ascii="宋体" w:hAnsi="宋体" w:cs="宋体"/>
          <w:sz w:val="24"/>
          <w:szCs w:val="20"/>
        </w:rPr>
        <w:t>13、为保证产品质量，提供台面厂商的中国绿色产品认证证明。</w:t>
      </w:r>
    </w:p>
    <w:p>
      <w:pPr>
        <w:pStyle w:val="30"/>
        <w:numPr>
          <w:ilvl w:val="0"/>
          <w:numId w:val="2"/>
        </w:numPr>
        <w:ind w:firstLine="480"/>
        <w:rPr>
          <w:rFonts w:cs="宋体"/>
          <w:sz w:val="24"/>
          <w:szCs w:val="20"/>
        </w:rPr>
      </w:pPr>
      <w:r>
        <w:rPr>
          <w:rFonts w:hint="eastAsia" w:cs="宋体"/>
          <w:sz w:val="24"/>
          <w:szCs w:val="20"/>
        </w:rPr>
        <w:t>结构工艺要求</w:t>
      </w:r>
    </w:p>
    <w:p>
      <w:pPr>
        <w:pStyle w:val="30"/>
        <w:ind w:firstLine="480"/>
        <w:rPr>
          <w:rFonts w:cs="宋体"/>
          <w:sz w:val="24"/>
          <w:szCs w:val="20"/>
        </w:rPr>
      </w:pPr>
      <w:r>
        <w:rPr>
          <w:rFonts w:hint="eastAsia" w:cs="宋体"/>
          <w:sz w:val="24"/>
          <w:szCs w:val="20"/>
        </w:rPr>
        <w:t>柜体：</w:t>
      </w:r>
    </w:p>
    <w:p>
      <w:pPr>
        <w:pStyle w:val="30"/>
        <w:ind w:firstLine="480"/>
        <w:rPr>
          <w:rFonts w:cs="宋体"/>
          <w:sz w:val="24"/>
          <w:szCs w:val="20"/>
        </w:rPr>
      </w:pPr>
      <w:r>
        <w:rPr>
          <w:rFonts w:hint="eastAsia" w:cs="宋体"/>
          <w:sz w:val="24"/>
          <w:szCs w:val="20"/>
        </w:rPr>
        <w:t>柜体单元为落地式结构，可以单独站立或多单元组合使用；</w:t>
      </w:r>
    </w:p>
    <w:p>
      <w:pPr>
        <w:pStyle w:val="30"/>
        <w:ind w:firstLine="480"/>
        <w:rPr>
          <w:rFonts w:cs="宋体"/>
          <w:sz w:val="24"/>
          <w:szCs w:val="20"/>
        </w:rPr>
      </w:pPr>
      <w:r>
        <w:rPr>
          <w:rFonts w:hint="eastAsia" w:cs="宋体"/>
          <w:sz w:val="24"/>
          <w:szCs w:val="20"/>
        </w:rPr>
        <w:t>柜体一般深度至少为533mm(约21英吋)，高度(含调整脚及台面厚度) 除有特别说明者外，实验台为850mm(±2.5%)，仪器台为850mm(±2.5%)；底柜后方应具备容易拆装的活动背板；</w:t>
      </w:r>
    </w:p>
    <w:p>
      <w:pPr>
        <w:pStyle w:val="30"/>
        <w:ind w:firstLine="480"/>
        <w:rPr>
          <w:rFonts w:cs="宋体"/>
          <w:sz w:val="24"/>
          <w:szCs w:val="20"/>
        </w:rPr>
      </w:pPr>
      <w:r>
        <w:rPr>
          <w:rFonts w:hint="eastAsia" w:cs="宋体"/>
          <w:sz w:val="24"/>
          <w:szCs w:val="20"/>
        </w:rPr>
        <w:t>所有底柜正面应为平装嵌入式结构设计，如各端面板(如门板、抽屉)，上/侧/底部柜体边框以及垂直支柱都必须在同一水平面不可有突出，以避免勾住实验袍等造成意外，所有钣金的表面接缝均应满焊，焊接处均应打磨平整以保持为连续的平滑表面；</w:t>
      </w:r>
    </w:p>
    <w:p>
      <w:pPr>
        <w:pStyle w:val="30"/>
        <w:ind w:firstLine="480"/>
        <w:rPr>
          <w:rFonts w:cs="宋体"/>
          <w:sz w:val="24"/>
          <w:szCs w:val="20"/>
        </w:rPr>
      </w:pPr>
      <w:r>
        <w:rPr>
          <w:rFonts w:hint="eastAsia" w:cs="宋体"/>
          <w:sz w:val="24"/>
          <w:szCs w:val="20"/>
        </w:rPr>
        <w:t>所有双开门款式底柜两片门间无中央垂直支柱阻挡。柜体内有层板上下调节孔，每个底柜设活动层板一只，层板宽度与柜体内宽度相当，两侧间隙不得各超过3mm；</w:t>
      </w:r>
    </w:p>
    <w:p>
      <w:pPr>
        <w:pStyle w:val="30"/>
        <w:ind w:firstLine="480"/>
        <w:rPr>
          <w:rFonts w:cs="宋体"/>
          <w:sz w:val="24"/>
          <w:szCs w:val="20"/>
        </w:rPr>
      </w:pPr>
      <w:r>
        <w:rPr>
          <w:rFonts w:hint="eastAsia" w:cs="宋体"/>
          <w:sz w:val="24"/>
          <w:szCs w:val="20"/>
        </w:rPr>
        <w:t>服务通道：中央台背对背柜体中间空档及边台柜体与墙面中间空档有一个服务通道距离，用来布设电、水、气管路，隐藏式设计；</w:t>
      </w:r>
    </w:p>
    <w:p>
      <w:pPr>
        <w:pStyle w:val="30"/>
        <w:ind w:firstLine="480"/>
        <w:rPr>
          <w:rFonts w:cs="宋体"/>
          <w:sz w:val="24"/>
          <w:szCs w:val="20"/>
        </w:rPr>
      </w:pPr>
      <w:r>
        <w:rPr>
          <w:rFonts w:hint="eastAsia" w:cs="宋体"/>
          <w:sz w:val="24"/>
          <w:szCs w:val="20"/>
        </w:rPr>
        <w:t xml:space="preserve">踼脚板凹入部分位于柜体正面下方，为一约高100mm(约4英吋)深75mm(约3英吋)的凹陷空间，踢脚板除正面凹入部分外，两侧须与柜体钢板一体成型，不得以小料拼接烧焊制作，以确保整体荷重能力； </w:t>
      </w:r>
    </w:p>
    <w:p>
      <w:pPr>
        <w:pStyle w:val="30"/>
        <w:ind w:firstLine="480"/>
        <w:rPr>
          <w:rFonts w:cs="宋体"/>
          <w:sz w:val="24"/>
          <w:szCs w:val="20"/>
        </w:rPr>
      </w:pPr>
      <w:r>
        <w:rPr>
          <w:rFonts w:hint="eastAsia" w:cs="宋体"/>
          <w:sz w:val="24"/>
          <w:szCs w:val="20"/>
        </w:rPr>
        <w:t>装饰封板：中央台背对背柜体中间空档的外露端口外侧，底柜与底柜之间的空档，不靠墙的仪器台柜体后侧，及边台柜体与墙面间空档的外露端口外侧，须使用钢制装饰封板遮盖，封板的颜色应与柜体相同，不得在现场直接以其它材料加工制作装饰封板；所有装饰封板为可拆装式设计，其组装螺丝应以孔塞遮蔽不可外露；所有部件不得于安装现场焊接加工，以避免破坏表面环氧树酯涂层；</w:t>
      </w:r>
    </w:p>
    <w:p>
      <w:pPr>
        <w:pStyle w:val="30"/>
        <w:numPr>
          <w:ilvl w:val="0"/>
          <w:numId w:val="2"/>
        </w:numPr>
        <w:ind w:firstLine="480"/>
        <w:rPr>
          <w:rFonts w:cs="宋体"/>
          <w:sz w:val="24"/>
          <w:szCs w:val="20"/>
        </w:rPr>
      </w:pPr>
      <w:r>
        <w:rPr>
          <w:rFonts w:hint="eastAsia" w:cs="宋体"/>
          <w:sz w:val="24"/>
          <w:szCs w:val="20"/>
        </w:rPr>
        <w:t>抽屉：</w:t>
      </w:r>
    </w:p>
    <w:p>
      <w:pPr>
        <w:pStyle w:val="30"/>
        <w:ind w:firstLine="480"/>
        <w:rPr>
          <w:rFonts w:cs="宋体"/>
          <w:sz w:val="24"/>
          <w:szCs w:val="20"/>
        </w:rPr>
      </w:pPr>
      <w:r>
        <w:rPr>
          <w:rFonts w:hint="eastAsia" w:cs="宋体"/>
          <w:sz w:val="24"/>
          <w:szCs w:val="20"/>
        </w:rPr>
        <w:t>抽屉面板为双层结构，内外面均经环氧树酯粉末静电喷涂处理，夹层内具消音材料；</w:t>
      </w:r>
    </w:p>
    <w:p>
      <w:pPr>
        <w:pStyle w:val="30"/>
        <w:ind w:firstLine="480"/>
        <w:rPr>
          <w:rFonts w:cs="宋体"/>
          <w:sz w:val="24"/>
          <w:szCs w:val="20"/>
        </w:rPr>
      </w:pPr>
      <w:r>
        <w:rPr>
          <w:rFonts w:hint="eastAsia" w:cs="宋体"/>
          <w:sz w:val="24"/>
          <w:szCs w:val="20"/>
        </w:rPr>
        <w:t>抽屉底部和四面抽墙为单片钢板一体成形设计。弯折接合处焊接；</w:t>
      </w:r>
    </w:p>
    <w:p>
      <w:pPr>
        <w:pStyle w:val="30"/>
        <w:ind w:firstLine="480"/>
        <w:rPr>
          <w:rFonts w:cs="宋体"/>
          <w:sz w:val="24"/>
          <w:szCs w:val="20"/>
        </w:rPr>
      </w:pPr>
      <w:r>
        <w:rPr>
          <w:rFonts w:hint="eastAsia" w:cs="宋体"/>
          <w:sz w:val="24"/>
          <w:szCs w:val="20"/>
        </w:rPr>
        <w:t>抽屉配置缓冲垫，以避免与柜体钢板碰撞；</w:t>
      </w:r>
    </w:p>
    <w:p>
      <w:pPr>
        <w:pStyle w:val="30"/>
        <w:ind w:firstLine="480"/>
        <w:rPr>
          <w:rFonts w:cs="宋体"/>
          <w:sz w:val="24"/>
          <w:szCs w:val="20"/>
        </w:rPr>
      </w:pPr>
      <w:r>
        <w:rPr>
          <w:rFonts w:hint="eastAsia" w:cs="宋体"/>
          <w:sz w:val="24"/>
          <w:szCs w:val="20"/>
        </w:rPr>
        <w:t>抽屉能抽出至少330mm(约13英吋)；</w:t>
      </w:r>
    </w:p>
    <w:p>
      <w:pPr>
        <w:pStyle w:val="30"/>
        <w:ind w:firstLine="480"/>
        <w:rPr>
          <w:rFonts w:cs="宋体"/>
          <w:sz w:val="24"/>
          <w:szCs w:val="20"/>
        </w:rPr>
      </w:pPr>
      <w:r>
        <w:rPr>
          <w:rFonts w:hint="eastAsia" w:cs="宋体"/>
          <w:sz w:val="24"/>
          <w:szCs w:val="20"/>
        </w:rPr>
        <w:t>门板：</w:t>
      </w:r>
    </w:p>
    <w:p>
      <w:pPr>
        <w:pStyle w:val="30"/>
        <w:ind w:firstLine="480"/>
        <w:rPr>
          <w:rFonts w:cs="宋体"/>
          <w:sz w:val="24"/>
          <w:szCs w:val="20"/>
        </w:rPr>
      </w:pPr>
      <w:r>
        <w:rPr>
          <w:rFonts w:hint="eastAsia" w:cs="宋体"/>
          <w:sz w:val="24"/>
          <w:szCs w:val="20"/>
        </w:rPr>
        <w:t>门板为双层结构，内外面均经环氧树酯粉末静电喷涂处理，夹层内具消音材料；</w:t>
      </w:r>
    </w:p>
    <w:p>
      <w:pPr>
        <w:pStyle w:val="30"/>
        <w:ind w:firstLine="480"/>
        <w:rPr>
          <w:rFonts w:cs="宋体"/>
          <w:sz w:val="24"/>
          <w:szCs w:val="20"/>
        </w:rPr>
      </w:pPr>
      <w:r>
        <w:rPr>
          <w:rFonts w:hint="eastAsia" w:cs="宋体"/>
          <w:sz w:val="24"/>
          <w:szCs w:val="20"/>
        </w:rPr>
        <w:t>门板合页铰链须以不锈钢螺丝与门板及底柜相固定；</w:t>
      </w:r>
    </w:p>
    <w:p>
      <w:pPr>
        <w:pStyle w:val="30"/>
        <w:ind w:firstLine="480"/>
        <w:rPr>
          <w:rFonts w:cs="宋体"/>
          <w:sz w:val="24"/>
          <w:szCs w:val="20"/>
        </w:rPr>
      </w:pPr>
      <w:r>
        <w:rPr>
          <w:rFonts w:hint="eastAsia" w:cs="宋体"/>
          <w:sz w:val="24"/>
          <w:szCs w:val="20"/>
        </w:rPr>
        <w:t>门板于适当位置安装门扣组及缓冲垫，以避免与柜体钢板碰撞；</w:t>
      </w:r>
    </w:p>
    <w:p>
      <w:pPr>
        <w:pStyle w:val="30"/>
        <w:ind w:firstLine="480"/>
        <w:rPr>
          <w:rFonts w:cs="宋体"/>
          <w:sz w:val="24"/>
          <w:szCs w:val="20"/>
        </w:rPr>
      </w:pPr>
      <w:r>
        <w:rPr>
          <w:rFonts w:hint="eastAsia" w:cs="宋体"/>
          <w:sz w:val="24"/>
          <w:szCs w:val="20"/>
        </w:rPr>
        <w:t>门板能开关顺畅达180度。</w:t>
      </w:r>
    </w:p>
    <w:p>
      <w:pPr>
        <w:pStyle w:val="30"/>
        <w:ind w:firstLine="480"/>
        <w:rPr>
          <w:rFonts w:cs="宋体"/>
          <w:sz w:val="24"/>
          <w:szCs w:val="20"/>
        </w:rPr>
      </w:pPr>
      <w:r>
        <w:rPr>
          <w:rFonts w:hint="eastAsia" w:cs="宋体"/>
          <w:sz w:val="24"/>
          <w:szCs w:val="20"/>
        </w:rPr>
        <w:t>底柜活动层板：</w:t>
      </w:r>
    </w:p>
    <w:p>
      <w:pPr>
        <w:pStyle w:val="30"/>
        <w:ind w:firstLine="480"/>
        <w:rPr>
          <w:rFonts w:cs="宋体"/>
          <w:sz w:val="24"/>
          <w:szCs w:val="20"/>
        </w:rPr>
      </w:pPr>
      <w:r>
        <w:rPr>
          <w:rFonts w:hint="eastAsia" w:cs="宋体"/>
          <w:sz w:val="24"/>
          <w:szCs w:val="20"/>
        </w:rPr>
        <w:t>层板边缘应平顺不割手；</w:t>
      </w:r>
    </w:p>
    <w:p>
      <w:pPr>
        <w:pStyle w:val="30"/>
        <w:ind w:firstLine="480"/>
        <w:rPr>
          <w:rFonts w:cs="宋体"/>
          <w:sz w:val="24"/>
          <w:szCs w:val="20"/>
        </w:rPr>
      </w:pPr>
      <w:r>
        <w:rPr>
          <w:rFonts w:hint="eastAsia" w:cs="宋体"/>
          <w:sz w:val="24"/>
          <w:szCs w:val="20"/>
        </w:rPr>
        <w:t>层板上下调节间距每格应小于20mm。</w:t>
      </w:r>
    </w:p>
    <w:p>
      <w:pPr>
        <w:pStyle w:val="30"/>
        <w:ind w:firstLine="480"/>
        <w:rPr>
          <w:rFonts w:cs="宋体"/>
          <w:sz w:val="24"/>
          <w:szCs w:val="20"/>
        </w:rPr>
      </w:pPr>
      <w:r>
        <w:rPr>
          <w:rFonts w:hint="eastAsia" w:cs="宋体"/>
          <w:sz w:val="24"/>
          <w:szCs w:val="20"/>
        </w:rPr>
        <w:t>五金及配件：</w:t>
      </w:r>
    </w:p>
    <w:p>
      <w:pPr>
        <w:pStyle w:val="30"/>
        <w:ind w:firstLine="480"/>
        <w:rPr>
          <w:rFonts w:cs="宋体"/>
          <w:sz w:val="24"/>
          <w:szCs w:val="20"/>
        </w:rPr>
      </w:pPr>
      <w:r>
        <w:rPr>
          <w:rFonts w:hint="eastAsia" w:cs="宋体"/>
          <w:sz w:val="24"/>
          <w:szCs w:val="20"/>
        </w:rPr>
        <w:t>铰链：每片门板至少配置两只合页铰链；</w:t>
      </w:r>
    </w:p>
    <w:p>
      <w:pPr>
        <w:pStyle w:val="30"/>
        <w:ind w:firstLine="480"/>
        <w:rPr>
          <w:rFonts w:cs="宋体"/>
          <w:sz w:val="24"/>
          <w:szCs w:val="20"/>
        </w:rPr>
      </w:pPr>
      <w:r>
        <w:rPr>
          <w:rFonts w:hint="eastAsia" w:cs="宋体"/>
          <w:sz w:val="24"/>
          <w:szCs w:val="20"/>
        </w:rPr>
        <w:t>门缝条：所有双开式门片间须装设门缝条，安装时以不锈钢螺丝与门片锁合；</w:t>
      </w:r>
    </w:p>
    <w:p>
      <w:pPr>
        <w:pStyle w:val="30"/>
        <w:ind w:firstLine="480"/>
        <w:rPr>
          <w:rFonts w:cs="宋体"/>
          <w:sz w:val="24"/>
          <w:szCs w:val="20"/>
        </w:rPr>
      </w:pPr>
      <w:r>
        <w:rPr>
          <w:rFonts w:hint="eastAsia" w:cs="宋体"/>
          <w:sz w:val="24"/>
          <w:szCs w:val="20"/>
        </w:rPr>
        <w:t>门扣组：门扣组须以不锈钢螺丝固定。</w:t>
      </w:r>
    </w:p>
    <w:p>
      <w:pPr>
        <w:pStyle w:val="30"/>
        <w:ind w:firstLine="480"/>
        <w:rPr>
          <w:rFonts w:cs="宋体"/>
          <w:sz w:val="24"/>
          <w:szCs w:val="20"/>
        </w:rPr>
      </w:pPr>
    </w:p>
    <w:p>
      <w:pPr>
        <w:ind w:firstLine="211" w:firstLineChars="100"/>
        <w:rPr>
          <w:rFonts w:ascii="宋体" w:hAnsi="宋体" w:cs="宋体"/>
          <w:b/>
          <w:bCs/>
        </w:rPr>
      </w:pPr>
      <w:r>
        <w:rPr>
          <w:rFonts w:hint="eastAsia" w:ascii="宋体" w:hAnsi="宋体" w:cs="宋体"/>
          <w:b/>
          <w:bCs/>
        </w:rPr>
        <w:t>4）冷藏标本柜</w:t>
      </w:r>
    </w:p>
    <w:p>
      <w:pPr>
        <w:widowControl/>
        <w:jc w:val="left"/>
        <w:rPr>
          <w:rFonts w:ascii="宋体" w:hAnsi="宋体" w:cs="宋体"/>
          <w:kern w:val="1"/>
          <w:sz w:val="24"/>
          <w:szCs w:val="24"/>
        </w:rPr>
      </w:pPr>
      <w:r>
        <w:rPr>
          <w:rFonts w:hint="eastAsia" w:ascii="宋体" w:hAnsi="宋体" w:cs="宋体"/>
          <w:kern w:val="1"/>
          <w:sz w:val="24"/>
          <w:szCs w:val="24"/>
        </w:rPr>
        <w:t>设备规格：详见设备清单（允许误差±5%)，符合医院场地实际需求：</w:t>
      </w:r>
    </w:p>
    <w:p>
      <w:pPr>
        <w:pStyle w:val="6"/>
        <w:ind w:firstLine="480"/>
        <w:rPr>
          <w:rFonts w:ascii="宋体" w:hAnsi="宋体" w:cs="宋体"/>
          <w:kern w:val="1"/>
          <w:sz w:val="24"/>
          <w:szCs w:val="24"/>
        </w:rPr>
      </w:pPr>
      <w:r>
        <w:rPr>
          <w:rFonts w:hint="eastAsia" w:ascii="宋体" w:hAnsi="宋体" w:cs="宋体"/>
          <w:kern w:val="1"/>
          <w:sz w:val="24"/>
          <w:szCs w:val="24"/>
        </w:rPr>
        <w:t>柜体材料采用1.0mm 304#不锈钢磨砂板。采用进口压缩机制冷，柜内温度可控制在0℃~10℃。中空玻璃门，四周密封。风冷型制冷，无结冰结霜，冷凝水可集中排放。配置数字温度显示器。自带排风口，有效排出有害气体。φ8mm的钢筋喷塑格网，上配专用耐腐塑料标本存放盒，承载强度大，标本存放方便。</w:t>
      </w:r>
    </w:p>
    <w:p>
      <w:pPr>
        <w:rPr>
          <w:rFonts w:ascii="宋体" w:hAnsi="宋体" w:cs="宋体"/>
        </w:rPr>
      </w:pPr>
    </w:p>
    <w:p>
      <w:pPr>
        <w:pStyle w:val="4"/>
        <w:ind w:firstLine="241" w:firstLineChars="100"/>
        <w:rPr>
          <w:rFonts w:cs="宋体"/>
        </w:rPr>
      </w:pPr>
      <w:r>
        <w:rPr>
          <w:rFonts w:hint="eastAsia" w:cs="宋体"/>
        </w:rPr>
        <w:t>5）切片柜（玻片柜）及蜡块柜</w:t>
      </w:r>
    </w:p>
    <w:p>
      <w:pPr>
        <w:numPr>
          <w:ilvl w:val="0"/>
          <w:numId w:val="3"/>
        </w:numPr>
        <w:ind w:firstLine="480"/>
        <w:rPr>
          <w:rFonts w:ascii="宋体" w:hAnsi="宋体" w:cs="宋体"/>
        </w:rPr>
      </w:pPr>
      <w:r>
        <w:rPr>
          <w:rFonts w:hint="eastAsia" w:ascii="宋体" w:hAnsi="宋体" w:cs="宋体"/>
        </w:rPr>
        <w:t>蜡块柜参数要求：</w:t>
      </w:r>
    </w:p>
    <w:p>
      <w:pPr>
        <w:ind w:firstLine="480"/>
        <w:rPr>
          <w:rFonts w:ascii="宋体" w:hAnsi="宋体" w:cs="宋体"/>
        </w:rPr>
      </w:pPr>
      <w:r>
        <w:rPr>
          <w:rFonts w:hint="eastAsia" w:ascii="宋体" w:hAnsi="宋体" w:cs="宋体"/>
        </w:rPr>
        <w:t>规格：W405×D480×H1600mm</w:t>
      </w:r>
    </w:p>
    <w:p>
      <w:pPr>
        <w:ind w:firstLine="480"/>
        <w:rPr>
          <w:rFonts w:ascii="宋体" w:hAnsi="宋体" w:cs="宋体"/>
        </w:rPr>
      </w:pPr>
      <w:r>
        <w:rPr>
          <w:rFonts w:hint="eastAsia" w:ascii="宋体" w:hAnsi="宋体" w:cs="宋体"/>
        </w:rPr>
        <w:t>采用冷轧钢板，箱体1.0mm冷轧钢板，抽屉0.8mm冷轧钢板，柜体表面处理脱脂除油、锌系磷化、粉未喷涂。为4个箱体组合，共24个抽屉，总高为1600mm。每抽屉可放标准蜡块250块左右每组共计可放标准蜡块6000块左右。每抽屉有滑轮，前面有目录卡。抽屉内隔板为分体式，能方便使蜡块存放整齐并使抽屉平整不走形。滑道采用三节承重型滑道，专用插槽、标鉴槽一体化冲压成型</w:t>
      </w:r>
    </w:p>
    <w:p>
      <w:pPr>
        <w:numPr>
          <w:ilvl w:val="0"/>
          <w:numId w:val="3"/>
        </w:numPr>
        <w:ind w:firstLine="480"/>
        <w:rPr>
          <w:rFonts w:ascii="宋体" w:hAnsi="宋体" w:cs="宋体"/>
        </w:rPr>
      </w:pPr>
      <w:r>
        <w:rPr>
          <w:rFonts w:hint="eastAsia" w:ascii="宋体" w:hAnsi="宋体" w:cs="宋体"/>
        </w:rPr>
        <w:t>切片柜参数要求：</w:t>
      </w:r>
    </w:p>
    <w:p>
      <w:pPr>
        <w:ind w:firstLine="480"/>
        <w:rPr>
          <w:rFonts w:ascii="宋体" w:hAnsi="宋体" w:cs="宋体"/>
        </w:rPr>
      </w:pPr>
      <w:r>
        <w:rPr>
          <w:rFonts w:hint="eastAsia" w:ascii="宋体" w:hAnsi="宋体" w:cs="宋体"/>
        </w:rPr>
        <w:t>规格：W405×D480×H1600mm</w:t>
      </w:r>
    </w:p>
    <w:p>
      <w:pPr>
        <w:ind w:firstLine="480"/>
        <w:rPr>
          <w:b/>
          <w:bCs/>
        </w:rPr>
        <w:sectPr>
          <w:pgSz w:w="11906" w:h="16838"/>
          <w:pgMar w:top="1418" w:right="1418" w:bottom="1418" w:left="1701" w:header="851" w:footer="992" w:gutter="0"/>
          <w:cols w:space="425" w:num="1"/>
          <w:docGrid w:type="lines" w:linePitch="312" w:charSpace="0"/>
        </w:sectPr>
      </w:pPr>
      <w:r>
        <w:rPr>
          <w:rFonts w:hint="eastAsia" w:ascii="宋体" w:hAnsi="宋体" w:cs="宋体"/>
        </w:rPr>
        <w:t>采用冷轧钢板，箱体1.0mm冷轧钢板，抽屉0.8mm冷轧钢板，柜体表面处理脱脂除油、锌系磷化、粉末喷涂。为4个箱体，每排6个抽屉共72个抽屉，每个抽屉可放标准切片400张左右，每组共计可放标准切片28800张左右，可负载900公斤以上。每个抽屉可自由互换，滑道采用ABS材质承重型滑道，箱体框架折边处满焊打磨无毛刺，且每层柜体均有加强筋、抽屉的防脱落保护装置及水平调节装置；抽屉前面有目录卡，在装满玻片情况下，抽屉抽拉轻巧无噪音、不变形。</w:t>
      </w:r>
    </w:p>
    <w:p>
      <w:pPr>
        <w:tabs>
          <w:tab w:val="left" w:pos="1050"/>
        </w:tabs>
        <w:spacing w:line="440" w:lineRule="exact"/>
        <w:outlineLvl w:val="2"/>
        <w:rPr>
          <w:rFonts w:ascii="宋体" w:hAnsi="宋体"/>
          <w:b/>
          <w:sz w:val="28"/>
          <w:szCs w:val="28"/>
        </w:rPr>
      </w:pPr>
      <w:r>
        <w:rPr>
          <w:rFonts w:hint="eastAsia" w:ascii="宋体" w:hAnsi="宋体"/>
          <w:b/>
          <w:sz w:val="28"/>
          <w:szCs w:val="28"/>
        </w:rPr>
        <w:t>3、商务要求</w:t>
      </w:r>
    </w:p>
    <w:p>
      <w:pPr>
        <w:tabs>
          <w:tab w:val="left" w:pos="1050"/>
        </w:tabs>
        <w:spacing w:line="440" w:lineRule="exact"/>
        <w:jc w:val="center"/>
        <w:outlineLvl w:val="2"/>
        <w:rPr>
          <w:rFonts w:ascii="宋体"/>
          <w:b/>
          <w:i/>
          <w:sz w:val="28"/>
          <w:szCs w:val="28"/>
        </w:rPr>
      </w:pPr>
      <w:r>
        <w:rPr>
          <w:rFonts w:hint="eastAsia" w:ascii="宋体" w:hAnsi="宋体"/>
          <w:b/>
          <w:bCs/>
          <w:color w:val="FF0000"/>
          <w:sz w:val="24"/>
          <w:szCs w:val="24"/>
          <w:highlight w:val="yellow"/>
        </w:rPr>
        <w:t>（本项目商务要求</w:t>
      </w:r>
      <w:r>
        <w:rPr>
          <w:rFonts w:hint="eastAsia" w:ascii="宋体" w:hAnsi="宋体"/>
          <w:b/>
          <w:color w:val="FF0000"/>
          <w:sz w:val="24"/>
          <w:szCs w:val="24"/>
          <w:highlight w:val="yellow"/>
        </w:rPr>
        <w:t>为不允许负偏离的实质性要求和条件</w:t>
      </w:r>
      <w:r>
        <w:rPr>
          <w:rFonts w:hint="eastAsia" w:ascii="宋体" w:hAnsi="宋体"/>
          <w:b/>
          <w:bCs/>
          <w:color w:val="FF0000"/>
          <w:sz w:val="24"/>
          <w:szCs w:val="24"/>
          <w:highlight w:val="yellow"/>
        </w:rPr>
        <w:t>）</w:t>
      </w:r>
    </w:p>
    <w:p>
      <w:pPr>
        <w:snapToGrid w:val="0"/>
        <w:spacing w:line="440" w:lineRule="exact"/>
        <w:ind w:firstLine="548" w:firstLineChars="196"/>
        <w:rPr>
          <w:rFonts w:ascii="宋体" w:hAnsi="宋体"/>
          <w:color w:val="000000"/>
          <w:sz w:val="28"/>
          <w:szCs w:val="28"/>
        </w:rPr>
      </w:pPr>
      <w:r>
        <w:rPr>
          <w:rFonts w:hint="eastAsia" w:ascii="宋体" w:hAnsi="宋体"/>
          <w:color w:val="000000"/>
          <w:sz w:val="28"/>
          <w:szCs w:val="28"/>
        </w:rPr>
        <w:t>1、所有货物</w:t>
      </w:r>
      <w:r>
        <w:rPr>
          <w:rFonts w:hint="eastAsia"/>
          <w:sz w:val="28"/>
          <w:szCs w:val="28"/>
        </w:rPr>
        <w:t>（包括零部件）</w:t>
      </w:r>
      <w:r>
        <w:rPr>
          <w:rFonts w:hint="eastAsia" w:ascii="宋体" w:hAnsi="宋体"/>
          <w:color w:val="000000"/>
          <w:sz w:val="28"/>
          <w:szCs w:val="28"/>
        </w:rPr>
        <w:t>须为全新的、未使用过的原装正品。提交货物的技术参数和配置应与招标文件的要求及其投标文件的技术要求偏离表（如果被评委会接受的话）相一致。若招标文件及投标文件中无相应说明，则以国家有关部门最新颁布的相应标准及规范为准。</w:t>
      </w:r>
    </w:p>
    <w:p>
      <w:pPr>
        <w:spacing w:line="420" w:lineRule="exact"/>
        <w:ind w:firstLine="560" w:firstLineChars="200"/>
        <w:rPr>
          <w:rFonts w:ascii="宋体" w:hAnsi="宋体"/>
          <w:sz w:val="28"/>
          <w:szCs w:val="28"/>
        </w:rPr>
      </w:pPr>
      <w:r>
        <w:rPr>
          <w:rFonts w:hint="eastAsia" w:ascii="宋体" w:hAnsi="宋体"/>
          <w:sz w:val="28"/>
          <w:szCs w:val="28"/>
        </w:rPr>
        <w:t>2、技术支持</w:t>
      </w:r>
    </w:p>
    <w:p>
      <w:pPr>
        <w:spacing w:line="420" w:lineRule="exact"/>
        <w:ind w:firstLine="560" w:firstLineChars="200"/>
        <w:rPr>
          <w:rFonts w:ascii="宋体" w:hAnsi="宋体"/>
          <w:sz w:val="28"/>
          <w:szCs w:val="28"/>
        </w:rPr>
      </w:pPr>
      <w:r>
        <w:rPr>
          <w:rFonts w:hint="eastAsia" w:ascii="宋体" w:hAnsi="宋体"/>
          <w:sz w:val="28"/>
          <w:szCs w:val="28"/>
        </w:rPr>
        <w:t>2.1中标人应向招标人提供全方位及时而有效的技术支持和服务。</w:t>
      </w:r>
    </w:p>
    <w:p>
      <w:pPr>
        <w:spacing w:line="420" w:lineRule="exact"/>
        <w:ind w:firstLine="560" w:firstLineChars="200"/>
        <w:rPr>
          <w:rFonts w:ascii="宋体" w:hAnsi="宋体"/>
          <w:sz w:val="28"/>
          <w:szCs w:val="28"/>
        </w:rPr>
      </w:pPr>
      <w:r>
        <w:rPr>
          <w:rFonts w:hint="eastAsia" w:ascii="宋体" w:hAnsi="宋体"/>
          <w:sz w:val="28"/>
          <w:szCs w:val="28"/>
        </w:rPr>
        <w:t>2.2中标人负责本项目供货与安装调试摆放完毕。</w:t>
      </w:r>
    </w:p>
    <w:p>
      <w:pPr>
        <w:spacing w:line="420" w:lineRule="exact"/>
        <w:ind w:firstLine="560" w:firstLineChars="200"/>
        <w:rPr>
          <w:rFonts w:ascii="宋体" w:hAnsi="宋体"/>
          <w:sz w:val="28"/>
          <w:szCs w:val="28"/>
        </w:rPr>
      </w:pPr>
      <w:r>
        <w:rPr>
          <w:rFonts w:hint="eastAsia" w:ascii="宋体" w:hAnsi="宋体"/>
          <w:sz w:val="28"/>
          <w:szCs w:val="28"/>
        </w:rPr>
        <w:t>2.3中标人在</w:t>
      </w:r>
      <w:r>
        <w:rPr>
          <w:rFonts w:ascii="宋体" w:hAnsi="宋体"/>
          <w:sz w:val="28"/>
          <w:szCs w:val="28"/>
        </w:rPr>
        <w:t>项目实施过程中，进场单位和人员的资质、资格符合国家、省、市有关规定。</w:t>
      </w:r>
      <w:r>
        <w:rPr>
          <w:rFonts w:hint="eastAsia" w:ascii="宋体" w:hAnsi="宋体"/>
          <w:sz w:val="28"/>
          <w:szCs w:val="28"/>
        </w:rPr>
        <w:t>实施</w:t>
      </w:r>
      <w:r>
        <w:rPr>
          <w:rFonts w:ascii="宋体" w:hAnsi="宋体"/>
          <w:sz w:val="28"/>
          <w:szCs w:val="28"/>
        </w:rPr>
        <w:t>期间</w:t>
      </w:r>
      <w:r>
        <w:rPr>
          <w:rFonts w:hint="eastAsia" w:ascii="宋体" w:hAnsi="宋体"/>
          <w:sz w:val="28"/>
          <w:szCs w:val="28"/>
        </w:rPr>
        <w:t>中标人</w:t>
      </w:r>
      <w:r>
        <w:rPr>
          <w:rFonts w:ascii="宋体" w:hAnsi="宋体"/>
          <w:sz w:val="28"/>
          <w:szCs w:val="28"/>
        </w:rPr>
        <w:t>所发生的或</w:t>
      </w:r>
      <w:r>
        <w:rPr>
          <w:rFonts w:hint="eastAsia" w:ascii="宋体" w:hAnsi="宋体"/>
          <w:sz w:val="28"/>
          <w:szCs w:val="28"/>
        </w:rPr>
        <w:t>中标人实施</w:t>
      </w:r>
      <w:r>
        <w:rPr>
          <w:rFonts w:ascii="宋体" w:hAnsi="宋体"/>
          <w:sz w:val="28"/>
          <w:szCs w:val="28"/>
        </w:rPr>
        <w:t>场地内发生的或</w:t>
      </w:r>
      <w:r>
        <w:rPr>
          <w:rFonts w:hint="eastAsia" w:ascii="宋体" w:hAnsi="宋体"/>
          <w:sz w:val="28"/>
          <w:szCs w:val="28"/>
        </w:rPr>
        <w:t>中标人</w:t>
      </w:r>
      <w:r>
        <w:rPr>
          <w:rFonts w:ascii="宋体" w:hAnsi="宋体"/>
          <w:sz w:val="28"/>
          <w:szCs w:val="28"/>
        </w:rPr>
        <w:t>原因造成的安全事故，均应由</w:t>
      </w:r>
      <w:r>
        <w:rPr>
          <w:rFonts w:hint="eastAsia" w:ascii="宋体" w:hAnsi="宋体"/>
          <w:sz w:val="28"/>
          <w:szCs w:val="28"/>
        </w:rPr>
        <w:t>中标人</w:t>
      </w:r>
      <w:r>
        <w:rPr>
          <w:rFonts w:ascii="宋体" w:hAnsi="宋体"/>
          <w:sz w:val="28"/>
          <w:szCs w:val="28"/>
        </w:rPr>
        <w:t>负责按有关规定处理善后事宜，并承担给招标人造成的损失</w:t>
      </w:r>
      <w:r>
        <w:rPr>
          <w:rFonts w:hint="eastAsia" w:ascii="宋体" w:hAnsi="宋体"/>
          <w:sz w:val="28"/>
          <w:szCs w:val="28"/>
        </w:rPr>
        <w:t>。</w:t>
      </w:r>
    </w:p>
    <w:p>
      <w:pPr>
        <w:spacing w:line="500" w:lineRule="exact"/>
        <w:ind w:firstLine="560" w:firstLineChars="200"/>
        <w:rPr>
          <w:rFonts w:ascii="宋体"/>
          <w:sz w:val="28"/>
          <w:szCs w:val="28"/>
        </w:rPr>
      </w:pPr>
      <w:r>
        <w:rPr>
          <w:rFonts w:hint="eastAsia" w:ascii="宋体" w:hAnsi="宋体"/>
          <w:sz w:val="28"/>
          <w:szCs w:val="28"/>
        </w:rPr>
        <w:t>3、质保及售后服务：</w:t>
      </w:r>
    </w:p>
    <w:p>
      <w:pPr>
        <w:spacing w:line="440" w:lineRule="exact"/>
        <w:ind w:firstLine="562" w:firstLineChars="200"/>
        <w:rPr>
          <w:rFonts w:ascii="宋体"/>
          <w:sz w:val="28"/>
          <w:szCs w:val="28"/>
        </w:rPr>
      </w:pPr>
      <w:r>
        <w:rPr>
          <w:rFonts w:hint="eastAsia" w:ascii="宋体" w:hAnsi="宋体"/>
          <w:b/>
          <w:sz w:val="28"/>
          <w:szCs w:val="28"/>
        </w:rPr>
        <w:t>3</w:t>
      </w:r>
      <w:r>
        <w:rPr>
          <w:rFonts w:ascii="宋体" w:hAnsi="宋体"/>
          <w:b/>
          <w:sz w:val="28"/>
          <w:szCs w:val="28"/>
        </w:rPr>
        <w:t>.1</w:t>
      </w:r>
      <w:r>
        <w:rPr>
          <w:rFonts w:hint="eastAsia" w:ascii="宋体" w:hAnsi="宋体"/>
          <w:b/>
          <w:sz w:val="28"/>
          <w:szCs w:val="28"/>
        </w:rPr>
        <w:t>中标人须对本项目提供至少</w:t>
      </w:r>
      <w:r>
        <w:rPr>
          <w:rFonts w:hint="eastAsia" w:ascii="宋体" w:hAnsi="宋体"/>
          <w:b/>
          <w:color w:val="0000FF"/>
          <w:sz w:val="28"/>
          <w:szCs w:val="28"/>
        </w:rPr>
        <w:t>3年</w:t>
      </w:r>
      <w:r>
        <w:rPr>
          <w:rFonts w:hint="eastAsia" w:ascii="宋体" w:hAnsi="宋体"/>
          <w:b/>
          <w:sz w:val="28"/>
          <w:szCs w:val="28"/>
        </w:rPr>
        <w:t>的免费质保服务，自验收合格之日起计算。</w:t>
      </w:r>
      <w:r>
        <w:rPr>
          <w:rFonts w:hint="eastAsia" w:ascii="宋体" w:hAnsi="宋体"/>
          <w:sz w:val="28"/>
          <w:szCs w:val="28"/>
        </w:rPr>
        <w:t>所</w:t>
      </w:r>
      <w:r>
        <w:rPr>
          <w:rFonts w:hint="eastAsia" w:ascii="宋体" w:hAnsi="宋体"/>
          <w:color w:val="000000"/>
          <w:sz w:val="28"/>
          <w:szCs w:val="28"/>
        </w:rPr>
        <w:t>有质</w:t>
      </w:r>
      <w:r>
        <w:rPr>
          <w:rFonts w:hint="eastAsia" w:ascii="宋体" w:hAnsi="宋体"/>
          <w:sz w:val="28"/>
          <w:szCs w:val="28"/>
        </w:rPr>
        <w:t>保费用均已包含在总投标价中。免费质保期满后，应提供优先的有偿售后服务及按不高于市场价格供应原厂零配件等。</w:t>
      </w:r>
    </w:p>
    <w:p>
      <w:pPr>
        <w:spacing w:line="440" w:lineRule="exact"/>
        <w:ind w:firstLine="560" w:firstLineChars="200"/>
        <w:rPr>
          <w:rFonts w:ascii="宋体"/>
          <w:sz w:val="28"/>
          <w:szCs w:val="28"/>
        </w:rPr>
      </w:pPr>
      <w:r>
        <w:rPr>
          <w:rFonts w:hint="eastAsia" w:ascii="宋体" w:hAnsi="宋体"/>
          <w:sz w:val="28"/>
          <w:szCs w:val="28"/>
        </w:rPr>
        <w:t>3</w:t>
      </w:r>
      <w:r>
        <w:rPr>
          <w:rFonts w:ascii="宋体" w:hAnsi="宋体"/>
          <w:sz w:val="28"/>
          <w:szCs w:val="28"/>
        </w:rPr>
        <w:t>.2</w:t>
      </w:r>
      <w:r>
        <w:rPr>
          <w:rFonts w:hint="eastAsia" w:ascii="宋体" w:hAnsi="宋体"/>
          <w:sz w:val="28"/>
          <w:szCs w:val="28"/>
        </w:rPr>
        <w:t>中标人须设有维修服务电话，负责解答用户在货物使用中遇到的问题，及时提出解决问题的建议和操作方法。</w:t>
      </w:r>
    </w:p>
    <w:p>
      <w:pPr>
        <w:spacing w:line="440" w:lineRule="exact"/>
        <w:ind w:firstLine="560" w:firstLineChars="200"/>
        <w:rPr>
          <w:rFonts w:ascii="宋体"/>
          <w:sz w:val="28"/>
          <w:szCs w:val="28"/>
        </w:rPr>
      </w:pPr>
      <w:r>
        <w:rPr>
          <w:rFonts w:hint="eastAsia" w:ascii="宋体" w:hAnsi="宋体"/>
          <w:sz w:val="28"/>
          <w:szCs w:val="28"/>
        </w:rPr>
        <w:t>3</w:t>
      </w:r>
      <w:r>
        <w:rPr>
          <w:rFonts w:ascii="宋体" w:hAnsi="宋体"/>
          <w:sz w:val="28"/>
          <w:szCs w:val="28"/>
        </w:rPr>
        <w:t>.3</w:t>
      </w:r>
      <w:r>
        <w:rPr>
          <w:rFonts w:hint="eastAsia" w:ascii="宋体" w:hAnsi="宋体"/>
          <w:sz w:val="28"/>
          <w:szCs w:val="28"/>
        </w:rPr>
        <w:t>售后服务响应时间：如货物出现质量问题，电话响应无法解决，中标人必须在接报修电话</w:t>
      </w:r>
      <w:r>
        <w:rPr>
          <w:rFonts w:hint="eastAsia" w:ascii="宋体" w:hAnsi="宋体"/>
          <w:sz w:val="28"/>
          <w:szCs w:val="28"/>
          <w:u w:val="single"/>
        </w:rPr>
        <w:t>24小时</w:t>
      </w:r>
      <w:r>
        <w:rPr>
          <w:rFonts w:hint="eastAsia" w:ascii="宋体" w:hAnsi="宋体"/>
          <w:sz w:val="28"/>
          <w:szCs w:val="28"/>
        </w:rPr>
        <w:t>内到达现场</w:t>
      </w:r>
      <w:r>
        <w:rPr>
          <w:rFonts w:ascii="宋体" w:hAnsi="宋体"/>
          <w:sz w:val="28"/>
          <w:szCs w:val="28"/>
        </w:rPr>
        <w:t>,</w:t>
      </w:r>
      <w:r>
        <w:rPr>
          <w:rFonts w:hint="eastAsia" w:ascii="宋体" w:hAnsi="宋体"/>
          <w:sz w:val="28"/>
          <w:szCs w:val="28"/>
          <w:u w:val="single"/>
        </w:rPr>
        <w:t>72小时</w:t>
      </w:r>
      <w:r>
        <w:rPr>
          <w:rFonts w:hint="eastAsia" w:ascii="宋体" w:hAnsi="宋体"/>
          <w:sz w:val="28"/>
          <w:szCs w:val="28"/>
        </w:rPr>
        <w:t>内解决问题。如不能解决的，中标人需免费提供备品备件供招标人使用。免费质保期内如货物出现质量问题，中标人负责免费修复，对于无法修复的情况，中标人负责免费更换。</w:t>
      </w:r>
    </w:p>
    <w:p>
      <w:pPr>
        <w:snapToGrid w:val="0"/>
        <w:ind w:firstLine="562" w:firstLineChars="200"/>
        <w:rPr>
          <w:rFonts w:ascii="宋体" w:hAnsi="宋体"/>
          <w:sz w:val="28"/>
          <w:szCs w:val="28"/>
        </w:rPr>
      </w:pPr>
      <w:r>
        <w:rPr>
          <w:rFonts w:hint="eastAsia" w:ascii="宋体" w:hAnsi="宋体"/>
          <w:b/>
          <w:bCs/>
          <w:sz w:val="28"/>
          <w:szCs w:val="28"/>
        </w:rPr>
        <w:t>4、工期：自合同签订之日起30日内供货并安装调试摆放完毕。</w:t>
      </w:r>
    </w:p>
    <w:p>
      <w:pPr>
        <w:spacing w:line="440" w:lineRule="exact"/>
        <w:ind w:firstLine="560" w:firstLineChars="200"/>
        <w:rPr>
          <w:rFonts w:ascii="宋体" w:hAnsi="宋体"/>
          <w:sz w:val="28"/>
          <w:szCs w:val="28"/>
        </w:rPr>
      </w:pPr>
      <w:r>
        <w:rPr>
          <w:rFonts w:hint="eastAsia" w:ascii="宋体" w:hAnsi="宋体"/>
          <w:sz w:val="28"/>
          <w:szCs w:val="28"/>
        </w:rPr>
        <w:t>5、供货及安装地点：马鞍山市人民医院（秀山医院）</w:t>
      </w:r>
    </w:p>
    <w:p>
      <w:pPr>
        <w:spacing w:line="440" w:lineRule="exact"/>
        <w:ind w:firstLine="560" w:firstLineChars="200"/>
        <w:rPr>
          <w:rFonts w:ascii="宋体" w:hAnsi="宋体"/>
          <w:sz w:val="28"/>
          <w:szCs w:val="28"/>
        </w:rPr>
      </w:pPr>
      <w:r>
        <w:rPr>
          <w:rFonts w:hint="eastAsia" w:ascii="宋体" w:hAnsi="宋体"/>
          <w:sz w:val="28"/>
          <w:szCs w:val="28"/>
        </w:rPr>
        <w:t>6、验收：</w:t>
      </w:r>
    </w:p>
    <w:p>
      <w:pPr>
        <w:spacing w:line="420" w:lineRule="exact"/>
        <w:ind w:firstLine="560" w:firstLineChars="200"/>
        <w:rPr>
          <w:rFonts w:ascii="宋体" w:hAnsi="宋体"/>
          <w:sz w:val="28"/>
          <w:szCs w:val="28"/>
        </w:rPr>
      </w:pPr>
      <w:r>
        <w:rPr>
          <w:rFonts w:hint="eastAsia" w:ascii="宋体" w:hAnsi="宋体"/>
          <w:sz w:val="28"/>
          <w:szCs w:val="28"/>
        </w:rPr>
        <w:t>6.1中标人所投产品制造商的检验部门在产品制造过程中和完工后，应按本招标文件所要求的标准和规范，对供货产品进行各项具体的检验和试验，提交相关检验报告，并对检验报告的真实性和准确性负责。</w:t>
      </w:r>
    </w:p>
    <w:p>
      <w:pPr>
        <w:spacing w:line="420" w:lineRule="exact"/>
        <w:ind w:firstLine="560" w:firstLineChars="200"/>
        <w:rPr>
          <w:rFonts w:ascii="宋体" w:hAnsi="宋体"/>
          <w:sz w:val="28"/>
          <w:szCs w:val="28"/>
        </w:rPr>
      </w:pPr>
      <w:r>
        <w:rPr>
          <w:rFonts w:hint="eastAsia" w:ascii="宋体" w:hAnsi="宋体"/>
          <w:sz w:val="28"/>
          <w:szCs w:val="28"/>
        </w:rPr>
        <w:t>6.2招标人有权对本次招标产品在生产过程中及发货前进行随机抽检，但不作为验收的依据，中标人应为招标人进行抽检提供方便。</w:t>
      </w:r>
    </w:p>
    <w:p>
      <w:pPr>
        <w:spacing w:line="440" w:lineRule="exact"/>
        <w:ind w:firstLine="560" w:firstLineChars="200"/>
        <w:rPr>
          <w:rFonts w:ascii="宋体" w:hAnsi="宋体"/>
          <w:sz w:val="28"/>
          <w:szCs w:val="28"/>
        </w:rPr>
      </w:pPr>
      <w:r>
        <w:rPr>
          <w:rFonts w:hint="eastAsia" w:ascii="宋体" w:hAnsi="宋体"/>
          <w:sz w:val="28"/>
          <w:szCs w:val="28"/>
        </w:rPr>
        <w:t>6.3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p>
    <w:p>
      <w:pPr>
        <w:spacing w:line="500" w:lineRule="exact"/>
        <w:ind w:firstLine="560" w:firstLineChars="200"/>
        <w:rPr>
          <w:rFonts w:ascii="宋体" w:hAnsi="宋体"/>
          <w:sz w:val="28"/>
          <w:szCs w:val="28"/>
        </w:rPr>
      </w:pPr>
      <w:r>
        <w:rPr>
          <w:rFonts w:hint="eastAsia" w:ascii="宋体" w:hAnsi="宋体"/>
          <w:sz w:val="28"/>
          <w:szCs w:val="28"/>
        </w:rPr>
        <w:t>6.4货物在验收时，中标人应提供发票、</w:t>
      </w:r>
      <w:r>
        <w:rPr>
          <w:rFonts w:ascii="宋体" w:hAnsi="宋体"/>
          <w:sz w:val="28"/>
          <w:szCs w:val="28"/>
        </w:rPr>
        <w:t>主要</w:t>
      </w:r>
      <w:r>
        <w:rPr>
          <w:rFonts w:hint="eastAsia" w:ascii="宋体" w:hAnsi="宋体"/>
          <w:sz w:val="28"/>
          <w:szCs w:val="28"/>
        </w:rPr>
        <w:t>产品及</w:t>
      </w:r>
      <w:r>
        <w:rPr>
          <w:rFonts w:ascii="宋体" w:hAnsi="宋体"/>
          <w:sz w:val="28"/>
          <w:szCs w:val="28"/>
        </w:rPr>
        <w:t>原材料</w:t>
      </w:r>
      <w:r>
        <w:rPr>
          <w:rFonts w:hint="eastAsia" w:ascii="宋体" w:hAnsi="宋体"/>
          <w:sz w:val="28"/>
          <w:szCs w:val="28"/>
        </w:rPr>
        <w:t>的</w:t>
      </w:r>
      <w:r>
        <w:rPr>
          <w:rFonts w:ascii="宋体" w:hAnsi="宋体"/>
          <w:sz w:val="28"/>
          <w:szCs w:val="28"/>
        </w:rPr>
        <w:t>检测报告、</w:t>
      </w:r>
      <w:r>
        <w:rPr>
          <w:rFonts w:hint="eastAsia" w:ascii="宋体" w:hAnsi="宋体"/>
          <w:sz w:val="28"/>
          <w:szCs w:val="28"/>
        </w:rPr>
        <w:t>原材料来源的相关证明、</w:t>
      </w:r>
      <w:r>
        <w:rPr>
          <w:rFonts w:ascii="宋体" w:hAnsi="宋体"/>
          <w:sz w:val="28"/>
          <w:szCs w:val="28"/>
        </w:rPr>
        <w:t>符合环保</w:t>
      </w:r>
      <w:r>
        <w:rPr>
          <w:rFonts w:hint="eastAsia" w:ascii="宋体" w:hAnsi="宋体"/>
          <w:sz w:val="28"/>
          <w:szCs w:val="28"/>
        </w:rPr>
        <w:t>标准</w:t>
      </w:r>
      <w:r>
        <w:rPr>
          <w:rFonts w:ascii="宋体" w:hAnsi="宋体"/>
          <w:sz w:val="28"/>
          <w:szCs w:val="28"/>
        </w:rPr>
        <w:t>的</w:t>
      </w:r>
      <w:r>
        <w:rPr>
          <w:rFonts w:hint="eastAsia" w:ascii="宋体" w:hAnsi="宋体"/>
          <w:sz w:val="28"/>
          <w:szCs w:val="28"/>
        </w:rPr>
        <w:t>相关</w:t>
      </w:r>
      <w:r>
        <w:rPr>
          <w:rFonts w:ascii="宋体" w:hAnsi="宋体"/>
          <w:sz w:val="28"/>
          <w:szCs w:val="28"/>
        </w:rPr>
        <w:t>证明</w:t>
      </w:r>
      <w:r>
        <w:rPr>
          <w:rFonts w:hint="eastAsia" w:ascii="宋体" w:hAnsi="宋体"/>
          <w:sz w:val="28"/>
          <w:szCs w:val="28"/>
        </w:rPr>
        <w:t>、</w:t>
      </w:r>
      <w:r>
        <w:rPr>
          <w:rFonts w:ascii="宋体" w:hAnsi="宋体"/>
          <w:sz w:val="28"/>
          <w:szCs w:val="28"/>
        </w:rPr>
        <w:t>产品合格证</w:t>
      </w:r>
      <w:r>
        <w:rPr>
          <w:rFonts w:hint="eastAsia" w:ascii="宋体" w:hAnsi="宋体"/>
          <w:sz w:val="28"/>
          <w:szCs w:val="28"/>
        </w:rPr>
        <w:t>、装箱清单等；提供有关货物的设计、制造、检验、安装等技术资料以及根据中国相关法律规定制造、销售报价货物（包括主要部件和材料）所必备的各种报告(如产品质量检验报告、国家相关检测机构出具的检验报告等）等文件汇集成册交付招标人和应由中标人提供的必要文件。</w:t>
      </w:r>
    </w:p>
    <w:p>
      <w:pPr>
        <w:spacing w:line="500" w:lineRule="exact"/>
        <w:ind w:firstLine="560" w:firstLineChars="200"/>
        <w:rPr>
          <w:rFonts w:ascii="宋体" w:hAnsi="宋体"/>
          <w:sz w:val="28"/>
          <w:szCs w:val="28"/>
        </w:rPr>
      </w:pPr>
      <w:r>
        <w:rPr>
          <w:rFonts w:hint="eastAsia" w:ascii="宋体" w:hAnsi="宋体"/>
          <w:sz w:val="28"/>
          <w:szCs w:val="28"/>
        </w:rPr>
        <w:t>6.5招标人对货物进行全面的验收（包括家具摆放完毕后对室内空气质量的检测），对验收中暴露出来的问题，中标人应及时无条件进行整改，最终验收合格后，招标人向中标人签发最终验收证明。</w:t>
      </w:r>
    </w:p>
    <w:p>
      <w:pPr>
        <w:spacing w:line="420" w:lineRule="exact"/>
        <w:ind w:firstLine="560" w:firstLineChars="200"/>
        <w:rPr>
          <w:rFonts w:ascii="宋体" w:hAnsi="宋体"/>
          <w:sz w:val="28"/>
          <w:szCs w:val="28"/>
        </w:rPr>
      </w:pPr>
      <w:r>
        <w:rPr>
          <w:rFonts w:hint="eastAsia" w:ascii="宋体" w:hAnsi="宋体"/>
          <w:sz w:val="28"/>
          <w:szCs w:val="28"/>
        </w:rPr>
        <w:t>6.6货到使用单位现场或摆放完毕后，招标人（或使用单位）自行验收或委托具有相应资质的第三方独立检验机构进行验收检验。</w:t>
      </w:r>
    </w:p>
    <w:p>
      <w:pPr>
        <w:spacing w:line="500" w:lineRule="exact"/>
        <w:ind w:firstLine="560" w:firstLineChars="200"/>
        <w:rPr>
          <w:rFonts w:ascii="宋体" w:hAnsi="宋体"/>
          <w:sz w:val="28"/>
          <w:szCs w:val="28"/>
        </w:rPr>
      </w:pPr>
      <w:r>
        <w:rPr>
          <w:rFonts w:hint="eastAsia" w:ascii="宋体" w:hAnsi="宋体"/>
          <w:sz w:val="28"/>
          <w:szCs w:val="28"/>
        </w:rPr>
        <w:t>6.7中标人在合同签订后，批量生产供货前，需向招标人提供所投家具的设计图纸及效果图纸，招标人确认无误后，中标人方可生产制造和供货。</w:t>
      </w:r>
    </w:p>
    <w:p>
      <w:pPr>
        <w:spacing w:line="500" w:lineRule="exact"/>
        <w:ind w:firstLine="560" w:firstLineChars="200"/>
        <w:rPr>
          <w:rFonts w:ascii="宋体" w:hAnsi="宋体"/>
          <w:sz w:val="28"/>
          <w:szCs w:val="28"/>
        </w:rPr>
      </w:pPr>
      <w:r>
        <w:rPr>
          <w:rFonts w:hint="eastAsia" w:ascii="宋体" w:hAnsi="宋体"/>
          <w:sz w:val="28"/>
          <w:szCs w:val="28"/>
        </w:rPr>
        <w:t>7、付款方式：中标人供货并安装调试摆放完毕，自招标人验收合格之日起60日内支付合同总金额全款。</w:t>
      </w:r>
    </w:p>
    <w:p>
      <w:pPr>
        <w:spacing w:line="500" w:lineRule="exact"/>
        <w:ind w:firstLine="560" w:firstLineChars="200"/>
        <w:rPr>
          <w:rFonts w:ascii="宋体" w:hAnsi="宋体"/>
          <w:sz w:val="32"/>
          <w:szCs w:val="32"/>
        </w:rPr>
      </w:pPr>
      <w:r>
        <w:rPr>
          <w:rFonts w:hint="eastAsia" w:ascii="宋体" w:hAnsi="宋体"/>
          <w:sz w:val="28"/>
          <w:szCs w:val="28"/>
        </w:rPr>
        <w:t>8、本项目总投标价包含了交付使用前的全部费用，包括设计费、货物购置费（包括但不限于主材、辅材、备品备件、零配件、易损件及专用工具费等）、生产制造费、安装调试摆放费、保险费、运输费、培训费、检测验收费、免费质保期内的维修维护费、其他费用（如管理费、包装费、仓储费、保管费、资料费以及完成本项目所需要的其他费用）及所有价内价外税金及合理利润等。</w:t>
      </w:r>
    </w:p>
    <w:p>
      <w:pPr>
        <w:pStyle w:val="17"/>
        <w:ind w:firstLine="0"/>
        <w:rPr>
          <w:rFonts w:eastAsia="宋体"/>
          <w:b/>
          <w:bCs/>
        </w:rPr>
      </w:pPr>
    </w:p>
    <w:sectPr>
      <w:pgSz w:w="11906" w:h="16838"/>
      <w:pgMar w:top="1418" w:right="1701"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F9AECF"/>
    <w:multiLevelType w:val="singleLevel"/>
    <w:tmpl w:val="9AF9AECF"/>
    <w:lvl w:ilvl="0" w:tentative="0">
      <w:start w:val="1"/>
      <w:numFmt w:val="decimal"/>
      <w:suff w:val="nothing"/>
      <w:lvlText w:val="%1．"/>
      <w:lvlJc w:val="left"/>
      <w:pPr>
        <w:ind w:left="0" w:firstLine="400"/>
      </w:pPr>
      <w:rPr>
        <w:rFonts w:hint="default"/>
      </w:rPr>
    </w:lvl>
  </w:abstractNum>
  <w:abstractNum w:abstractNumId="1">
    <w:nsid w:val="AA3A86BE"/>
    <w:multiLevelType w:val="singleLevel"/>
    <w:tmpl w:val="AA3A86BE"/>
    <w:lvl w:ilvl="0" w:tentative="0">
      <w:start w:val="1"/>
      <w:numFmt w:val="decimal"/>
      <w:suff w:val="nothing"/>
      <w:lvlText w:val="%1．"/>
      <w:lvlJc w:val="left"/>
      <w:pPr>
        <w:ind w:left="0" w:firstLine="400"/>
      </w:pPr>
      <w:rPr>
        <w:rFonts w:hint="default"/>
      </w:rPr>
    </w:lvl>
  </w:abstractNum>
  <w:abstractNum w:abstractNumId="2">
    <w:nsid w:val="BE6011EB"/>
    <w:multiLevelType w:val="singleLevel"/>
    <w:tmpl w:val="BE6011EB"/>
    <w:lvl w:ilvl="0" w:tentative="0">
      <w:start w:val="1"/>
      <w:numFmt w:val="decimal"/>
      <w:suff w:val="nothing"/>
      <w:lvlText w:val="%1．"/>
      <w:lvlJc w:val="left"/>
      <w:pPr>
        <w:ind w:left="0" w:firstLine="4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xMjcxY2MxNjQ3ZTU3ZTg0ZjE3NzRhYmRjMDFlNTAifQ=="/>
  </w:docVars>
  <w:rsids>
    <w:rsidRoot w:val="00F257ED"/>
    <w:rsid w:val="000C2B39"/>
    <w:rsid w:val="00105BC7"/>
    <w:rsid w:val="001222FD"/>
    <w:rsid w:val="00145C54"/>
    <w:rsid w:val="001675E2"/>
    <w:rsid w:val="001A22D3"/>
    <w:rsid w:val="001F5C5A"/>
    <w:rsid w:val="00261731"/>
    <w:rsid w:val="002B2560"/>
    <w:rsid w:val="002B5279"/>
    <w:rsid w:val="002B57CA"/>
    <w:rsid w:val="002E6DA4"/>
    <w:rsid w:val="002E7F7E"/>
    <w:rsid w:val="0033157F"/>
    <w:rsid w:val="003557C3"/>
    <w:rsid w:val="003853B0"/>
    <w:rsid w:val="00387B89"/>
    <w:rsid w:val="00396C84"/>
    <w:rsid w:val="003F417C"/>
    <w:rsid w:val="00446E83"/>
    <w:rsid w:val="00463C75"/>
    <w:rsid w:val="00476EB3"/>
    <w:rsid w:val="00490D59"/>
    <w:rsid w:val="004C3870"/>
    <w:rsid w:val="004F4289"/>
    <w:rsid w:val="004F4A88"/>
    <w:rsid w:val="00505EDE"/>
    <w:rsid w:val="00520A2A"/>
    <w:rsid w:val="005B77AB"/>
    <w:rsid w:val="00604176"/>
    <w:rsid w:val="006167B8"/>
    <w:rsid w:val="006455E2"/>
    <w:rsid w:val="006777EB"/>
    <w:rsid w:val="00690F7B"/>
    <w:rsid w:val="006D004D"/>
    <w:rsid w:val="006F5400"/>
    <w:rsid w:val="006F5829"/>
    <w:rsid w:val="00715899"/>
    <w:rsid w:val="007573FB"/>
    <w:rsid w:val="00797F4F"/>
    <w:rsid w:val="00801630"/>
    <w:rsid w:val="008025F7"/>
    <w:rsid w:val="008647DA"/>
    <w:rsid w:val="00911F83"/>
    <w:rsid w:val="00924950"/>
    <w:rsid w:val="00950A52"/>
    <w:rsid w:val="009B7031"/>
    <w:rsid w:val="00A60A73"/>
    <w:rsid w:val="00A65062"/>
    <w:rsid w:val="00AA4FAA"/>
    <w:rsid w:val="00AB26EF"/>
    <w:rsid w:val="00AB2B22"/>
    <w:rsid w:val="00AC440F"/>
    <w:rsid w:val="00AC4BB6"/>
    <w:rsid w:val="00AD1B9C"/>
    <w:rsid w:val="00AE5892"/>
    <w:rsid w:val="00B67343"/>
    <w:rsid w:val="00BA3A5C"/>
    <w:rsid w:val="00BC78D2"/>
    <w:rsid w:val="00BD186F"/>
    <w:rsid w:val="00C3679B"/>
    <w:rsid w:val="00C45521"/>
    <w:rsid w:val="00C54E67"/>
    <w:rsid w:val="00CF27AC"/>
    <w:rsid w:val="00D02D0E"/>
    <w:rsid w:val="00D039F9"/>
    <w:rsid w:val="00D54C89"/>
    <w:rsid w:val="00D90220"/>
    <w:rsid w:val="00DC0997"/>
    <w:rsid w:val="00DE5922"/>
    <w:rsid w:val="00E459AE"/>
    <w:rsid w:val="00E650AC"/>
    <w:rsid w:val="00E837F8"/>
    <w:rsid w:val="00E96E3C"/>
    <w:rsid w:val="00EC7CB4"/>
    <w:rsid w:val="00EF28A8"/>
    <w:rsid w:val="00F17098"/>
    <w:rsid w:val="00F257ED"/>
    <w:rsid w:val="00F30E15"/>
    <w:rsid w:val="00F640EA"/>
    <w:rsid w:val="00F64100"/>
    <w:rsid w:val="00FC1C71"/>
    <w:rsid w:val="00FD148B"/>
    <w:rsid w:val="00FD215C"/>
    <w:rsid w:val="021C39C5"/>
    <w:rsid w:val="03351867"/>
    <w:rsid w:val="04BC365E"/>
    <w:rsid w:val="07DB45C1"/>
    <w:rsid w:val="0A981059"/>
    <w:rsid w:val="0B6D5E7D"/>
    <w:rsid w:val="0DD34156"/>
    <w:rsid w:val="0E82150F"/>
    <w:rsid w:val="0F8665B7"/>
    <w:rsid w:val="0FC20A5D"/>
    <w:rsid w:val="10A06571"/>
    <w:rsid w:val="10D701C5"/>
    <w:rsid w:val="1A0F3E3B"/>
    <w:rsid w:val="1BF74872"/>
    <w:rsid w:val="1C1E6EE4"/>
    <w:rsid w:val="1E5E0256"/>
    <w:rsid w:val="20AD375F"/>
    <w:rsid w:val="20CC7BDC"/>
    <w:rsid w:val="22AF6AE8"/>
    <w:rsid w:val="2304503F"/>
    <w:rsid w:val="24837580"/>
    <w:rsid w:val="26A1546C"/>
    <w:rsid w:val="27657A93"/>
    <w:rsid w:val="2A24600D"/>
    <w:rsid w:val="2ABC600B"/>
    <w:rsid w:val="2C1A76C8"/>
    <w:rsid w:val="2DB15E0A"/>
    <w:rsid w:val="2FB45808"/>
    <w:rsid w:val="334F1248"/>
    <w:rsid w:val="33900270"/>
    <w:rsid w:val="33DB6D9E"/>
    <w:rsid w:val="38E045CB"/>
    <w:rsid w:val="3A0D73F0"/>
    <w:rsid w:val="3B2B5797"/>
    <w:rsid w:val="3D7604D6"/>
    <w:rsid w:val="3FAA090B"/>
    <w:rsid w:val="41007D64"/>
    <w:rsid w:val="424956F6"/>
    <w:rsid w:val="44DB5CEA"/>
    <w:rsid w:val="458473E4"/>
    <w:rsid w:val="464E1512"/>
    <w:rsid w:val="49022255"/>
    <w:rsid w:val="49A0428C"/>
    <w:rsid w:val="49FD6207"/>
    <w:rsid w:val="4B665598"/>
    <w:rsid w:val="4EF1689D"/>
    <w:rsid w:val="50B2610E"/>
    <w:rsid w:val="50B52FB2"/>
    <w:rsid w:val="5AD34044"/>
    <w:rsid w:val="5FFA2A0D"/>
    <w:rsid w:val="61804B01"/>
    <w:rsid w:val="649829A9"/>
    <w:rsid w:val="65DA6741"/>
    <w:rsid w:val="66974E96"/>
    <w:rsid w:val="67B50D99"/>
    <w:rsid w:val="6AF51241"/>
    <w:rsid w:val="6EC3467D"/>
    <w:rsid w:val="71BC737F"/>
    <w:rsid w:val="72C32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keepNext/>
      <w:keepLines/>
      <w:spacing w:line="360" w:lineRule="auto"/>
      <w:jc w:val="left"/>
      <w:outlineLvl w:val="0"/>
    </w:pPr>
    <w:rPr>
      <w:rFonts w:ascii="黑体" w:hAnsi="黑体" w:eastAsia="黑体"/>
      <w:b/>
      <w:kern w:val="44"/>
      <w:sz w:val="28"/>
      <w:szCs w:val="20"/>
    </w:rPr>
  </w:style>
  <w:style w:type="paragraph" w:styleId="4">
    <w:name w:val="heading 2"/>
    <w:basedOn w:val="1"/>
    <w:next w:val="1"/>
    <w:link w:val="21"/>
    <w:unhideWhenUsed/>
    <w:qFormat/>
    <w:uiPriority w:val="9"/>
    <w:pPr>
      <w:keepNext/>
      <w:keepLines/>
      <w:spacing w:line="360" w:lineRule="auto"/>
      <w:jc w:val="left"/>
      <w:outlineLvl w:val="1"/>
    </w:pPr>
    <w:rPr>
      <w:rFonts w:ascii="宋体" w:hAnsi="宋体" w:cstheme="majorBidi"/>
      <w:b/>
      <w:bCs/>
      <w:sz w:val="24"/>
      <w:szCs w:val="32"/>
    </w:rPr>
  </w:style>
  <w:style w:type="paragraph" w:styleId="2">
    <w:name w:val="heading 3"/>
    <w:basedOn w:val="1"/>
    <w:next w:val="1"/>
    <w:link w:val="18"/>
    <w:unhideWhenUsed/>
    <w:qFormat/>
    <w:uiPriority w:val="0"/>
    <w:pPr>
      <w:keepNext/>
      <w:keepLines/>
      <w:outlineLvl w:val="2"/>
    </w:pPr>
    <w:rPr>
      <w:rFonts w:ascii="Times New Roman" w:hAnsi="Times New Roman"/>
      <w:b/>
      <w:bCs/>
      <w:sz w:val="24"/>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List Number 2"/>
    <w:basedOn w:val="1"/>
    <w:qFormat/>
    <w:uiPriority w:val="0"/>
    <w:pPr>
      <w:tabs>
        <w:tab w:val="left" w:pos="425"/>
        <w:tab w:val="left" w:pos="567"/>
      </w:tabs>
      <w:adjustRightInd w:val="0"/>
      <w:spacing w:line="300" w:lineRule="auto"/>
      <w:ind w:left="425" w:hanging="425"/>
      <w:textAlignment w:val="baseline"/>
    </w:pPr>
    <w:rPr>
      <w:rFonts w:ascii="Times New Roman" w:hAnsi="Times New Roman"/>
      <w:kern w:val="0"/>
      <w:sz w:val="28"/>
      <w:szCs w:val="20"/>
    </w:rPr>
  </w:style>
  <w:style w:type="paragraph" w:styleId="6">
    <w:name w:val="Body Text"/>
    <w:basedOn w:val="1"/>
    <w:next w:val="1"/>
    <w:link w:val="20"/>
    <w:qFormat/>
    <w:uiPriority w:val="0"/>
    <w:pPr>
      <w:spacing w:after="120"/>
    </w:pPr>
  </w:style>
  <w:style w:type="paragraph" w:styleId="7">
    <w:name w:val="Plain Text"/>
    <w:basedOn w:val="1"/>
    <w:link w:val="22"/>
    <w:qFormat/>
    <w:uiPriority w:val="0"/>
    <w:rPr>
      <w:rFonts w:ascii="宋体" w:hAnsi="Courier New"/>
      <w:szCs w:val="20"/>
    </w:rPr>
  </w:style>
  <w:style w:type="paragraph" w:styleId="8">
    <w:name w:val="Balloon Text"/>
    <w:basedOn w:val="1"/>
    <w:link w:val="28"/>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Body Text First Indent"/>
    <w:basedOn w:val="6"/>
    <w:link w:val="23"/>
    <w:unhideWhenUsed/>
    <w:qFormat/>
    <w:uiPriority w:val="99"/>
    <w:pPr>
      <w:ind w:firstLine="420" w:firstLineChars="100"/>
    </w:pPr>
    <w:rPr>
      <w:rFonts w:asciiTheme="minorHAnsi" w:hAnsiTheme="minorHAnsi" w:eastAsiaTheme="minorEastAsia" w:cstheme="minorBidi"/>
      <w:szCs w:val="24"/>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paragraph" w:customStyle="1" w:styleId="17">
    <w:name w:val="段"/>
    <w:qFormat/>
    <w:uiPriority w:val="0"/>
    <w:pPr>
      <w:widowControl w:val="0"/>
      <w:suppressAutoHyphens/>
      <w:autoSpaceDE w:val="0"/>
      <w:ind w:firstLine="200"/>
      <w:jc w:val="both"/>
    </w:pPr>
    <w:rPr>
      <w:rFonts w:ascii="宋体" w:hAnsi="宋体" w:eastAsia="微软雅黑" w:cs="Times New Roman"/>
      <w:sz w:val="21"/>
      <w:lang w:val="en-US" w:eastAsia="zh-CN" w:bidi="ar-SA"/>
    </w:rPr>
  </w:style>
  <w:style w:type="character" w:customStyle="1" w:styleId="18">
    <w:name w:val="标题 3 Char"/>
    <w:basedOn w:val="15"/>
    <w:link w:val="2"/>
    <w:qFormat/>
    <w:uiPriority w:val="0"/>
    <w:rPr>
      <w:rFonts w:ascii="Times New Roman" w:hAnsi="Times New Roman" w:eastAsia="宋体" w:cs="Times New Roman"/>
      <w:b/>
      <w:bCs/>
      <w:sz w:val="24"/>
      <w:szCs w:val="32"/>
    </w:rPr>
  </w:style>
  <w:style w:type="character" w:customStyle="1" w:styleId="19">
    <w:name w:val="标题 1 Char"/>
    <w:basedOn w:val="15"/>
    <w:link w:val="3"/>
    <w:qFormat/>
    <w:uiPriority w:val="0"/>
    <w:rPr>
      <w:rFonts w:ascii="黑体" w:hAnsi="黑体" w:eastAsia="黑体" w:cs="Times New Roman"/>
      <w:b/>
      <w:kern w:val="44"/>
      <w:sz w:val="28"/>
    </w:rPr>
  </w:style>
  <w:style w:type="character" w:customStyle="1" w:styleId="20">
    <w:name w:val="正文文本 Char"/>
    <w:basedOn w:val="15"/>
    <w:link w:val="6"/>
    <w:qFormat/>
    <w:uiPriority w:val="0"/>
    <w:rPr>
      <w:rFonts w:ascii="Calibri" w:hAnsi="Calibri" w:eastAsia="宋体" w:cs="Times New Roman"/>
    </w:rPr>
  </w:style>
  <w:style w:type="character" w:customStyle="1" w:styleId="21">
    <w:name w:val="标题 2 Char"/>
    <w:basedOn w:val="15"/>
    <w:link w:val="4"/>
    <w:qFormat/>
    <w:uiPriority w:val="9"/>
    <w:rPr>
      <w:rFonts w:ascii="宋体" w:hAnsi="宋体" w:eastAsia="宋体" w:cstheme="majorBidi"/>
      <w:b/>
      <w:bCs/>
      <w:kern w:val="2"/>
      <w:sz w:val="24"/>
      <w:szCs w:val="32"/>
    </w:rPr>
  </w:style>
  <w:style w:type="character" w:customStyle="1" w:styleId="22">
    <w:name w:val="纯文本 Char"/>
    <w:basedOn w:val="15"/>
    <w:link w:val="7"/>
    <w:qFormat/>
    <w:uiPriority w:val="0"/>
    <w:rPr>
      <w:rFonts w:ascii="宋体" w:hAnsi="Courier New" w:eastAsia="宋体" w:cs="Times New Roman"/>
      <w:szCs w:val="20"/>
    </w:rPr>
  </w:style>
  <w:style w:type="character" w:customStyle="1" w:styleId="23">
    <w:name w:val="正文首行缩进 Char"/>
    <w:basedOn w:val="20"/>
    <w:link w:val="13"/>
    <w:qFormat/>
    <w:uiPriority w:val="99"/>
    <w:rPr>
      <w:rFonts w:ascii="Calibri" w:hAnsi="Calibri" w:eastAsia="宋体" w:cs="Times New Roman"/>
      <w:szCs w:val="24"/>
    </w:rPr>
  </w:style>
  <w:style w:type="paragraph" w:styleId="24">
    <w:name w:val="List Paragraph"/>
    <w:basedOn w:val="1"/>
    <w:qFormat/>
    <w:uiPriority w:val="34"/>
    <w:pPr>
      <w:ind w:firstLine="420" w:firstLineChars="200"/>
    </w:pPr>
  </w:style>
  <w:style w:type="character" w:customStyle="1" w:styleId="25">
    <w:name w:val="页眉 Char"/>
    <w:basedOn w:val="15"/>
    <w:link w:val="10"/>
    <w:qFormat/>
    <w:uiPriority w:val="99"/>
    <w:rPr>
      <w:rFonts w:ascii="Calibri" w:hAnsi="Calibri" w:eastAsia="宋体" w:cs="Times New Roman"/>
      <w:sz w:val="18"/>
      <w:szCs w:val="18"/>
    </w:rPr>
  </w:style>
  <w:style w:type="character" w:customStyle="1" w:styleId="26">
    <w:name w:val="页脚 Char"/>
    <w:basedOn w:val="15"/>
    <w:link w:val="9"/>
    <w:qFormat/>
    <w:uiPriority w:val="99"/>
    <w:rPr>
      <w:rFonts w:ascii="Calibri" w:hAnsi="Calibri" w:eastAsia="宋体" w:cs="Times New Roman"/>
      <w:sz w:val="18"/>
      <w:szCs w:val="18"/>
    </w:rPr>
  </w:style>
  <w:style w:type="paragraph" w:customStyle="1" w:styleId="27">
    <w:name w:val="TOC 标题1"/>
    <w:basedOn w:val="3"/>
    <w:next w:val="1"/>
    <w:semiHidden/>
    <w:unhideWhenUsed/>
    <w:qFormat/>
    <w:uiPriority w:val="39"/>
    <w:pPr>
      <w:widowControl/>
      <w:spacing w:before="480" w:line="276" w:lineRule="auto"/>
      <w:outlineLvl w:val="9"/>
    </w:pPr>
    <w:rPr>
      <w:rFonts w:asciiTheme="majorHAnsi" w:hAnsiTheme="majorHAnsi" w:eastAsiaTheme="majorEastAsia" w:cstheme="majorBidi"/>
      <w:bCs/>
      <w:color w:val="2F5597" w:themeColor="accent1" w:themeShade="BF"/>
      <w:kern w:val="0"/>
      <w:szCs w:val="28"/>
    </w:rPr>
  </w:style>
  <w:style w:type="character" w:customStyle="1" w:styleId="28">
    <w:name w:val="批注框文本 Char"/>
    <w:basedOn w:val="15"/>
    <w:link w:val="8"/>
    <w:semiHidden/>
    <w:qFormat/>
    <w:uiPriority w:val="99"/>
    <w:rPr>
      <w:rFonts w:ascii="Calibri" w:hAnsi="Calibri" w:eastAsia="宋体" w:cs="Times New Roman"/>
      <w:kern w:val="2"/>
      <w:sz w:val="18"/>
      <w:szCs w:val="18"/>
    </w:rPr>
  </w:style>
  <w:style w:type="paragraph" w:customStyle="1" w:styleId="29">
    <w:name w:val="Table Paragraph"/>
    <w:basedOn w:val="1"/>
    <w:qFormat/>
    <w:uiPriority w:val="1"/>
    <w:pPr>
      <w:autoSpaceDE w:val="0"/>
      <w:autoSpaceDN w:val="0"/>
      <w:jc w:val="left"/>
    </w:pPr>
    <w:rPr>
      <w:rFonts w:ascii="宋体" w:hAnsi="宋体" w:cs="宋体"/>
      <w:snapToGrid w:val="0"/>
      <w:kern w:val="0"/>
      <w:sz w:val="22"/>
      <w:szCs w:val="20"/>
      <w:lang w:val="zh-CN" w:bidi="zh-CN"/>
    </w:rPr>
  </w:style>
  <w:style w:type="paragraph" w:customStyle="1" w:styleId="30">
    <w:name w:val="正文格式"/>
    <w:basedOn w:val="6"/>
    <w:qFormat/>
    <w:uiPriority w:val="0"/>
    <w:pPr>
      <w:ind w:firstLine="200"/>
    </w:pPr>
    <w:rPr>
      <w:rFonts w:ascii="宋体" w:hAnsi="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659D7-2792-496E-AD01-0BB95900C2F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6264</Words>
  <Characters>7036</Characters>
  <Lines>52</Lines>
  <Paragraphs>14</Paragraphs>
  <TotalTime>29</TotalTime>
  <ScaleCrop>false</ScaleCrop>
  <LinksUpToDate>false</LinksUpToDate>
  <CharactersWithSpaces>7105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2024-06-19T01:57:00Z</dcterms:created>
  <dc:creator>wei ju</dc:creator>
  <cp:lastModifiedBy>高杨</cp:lastModifiedBy>
  <cp:lastPrinted>2024-06-19T01:55:00Z</cp:lastPrinted>
  <dcterms:modified xsi:type="dcterms:W3CDTF">2024-06-19T03:17:29Z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AF02B28CC2D242959BC77DF5B8C5B288_13</vt:lpwstr>
  </property>
</Properties>
</file>